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rPr>
          <w:rStyle w:val="39"/>
          <w:rFonts w:hint="default" w:ascii="黑体" w:hAnsi="黑体" w:eastAsia="黑体" w:cs="仿宋_GB2312"/>
          <w:sz w:val="32"/>
          <w:szCs w:val="32"/>
        </w:rPr>
      </w:pPr>
      <w:bookmarkStart w:id="0" w:name="_GoBack"/>
      <w:bookmarkEnd w:id="0"/>
      <w:r>
        <w:rPr>
          <w:rStyle w:val="39"/>
          <w:rFonts w:hint="default" w:ascii="黑体" w:hAnsi="黑体" w:eastAsia="黑体" w:cs="仿宋_GB2312"/>
          <w:sz w:val="32"/>
          <w:szCs w:val="32"/>
        </w:rPr>
        <w:t>附件1</w:t>
      </w:r>
    </w:p>
    <w:p>
      <w:pPr>
        <w:adjustRightInd w:val="0"/>
        <w:snapToGrid w:val="0"/>
        <w:spacing w:line="600" w:lineRule="exact"/>
        <w:rPr>
          <w:rStyle w:val="39"/>
          <w:rFonts w:hint="default" w:ascii="仿宋" w:hAnsi="仿宋" w:eastAsia="仿宋" w:cs="仿宋_GB2312"/>
          <w:sz w:val="32"/>
          <w:szCs w:val="32"/>
        </w:rPr>
      </w:pPr>
    </w:p>
    <w:p>
      <w:pPr>
        <w:snapToGrid w:val="0"/>
        <w:spacing w:line="560" w:lineRule="exact"/>
        <w:jc w:val="center"/>
        <w:rPr>
          <w:rFonts w:eastAsia="方正小标宋简体"/>
          <w:sz w:val="44"/>
        </w:rPr>
      </w:pPr>
      <w:r>
        <w:rPr>
          <w:rFonts w:eastAsia="方正小标宋简体"/>
          <w:sz w:val="44"/>
        </w:rPr>
        <w:t>中国工程科技发展战略广东研究院</w:t>
      </w:r>
    </w:p>
    <w:p>
      <w:pPr>
        <w:snapToGrid w:val="0"/>
        <w:spacing w:line="560" w:lineRule="exact"/>
        <w:jc w:val="center"/>
        <w:rPr>
          <w:rFonts w:eastAsia="方正小标宋简体"/>
          <w:sz w:val="44"/>
        </w:rPr>
      </w:pPr>
      <w:r>
        <w:rPr>
          <w:rFonts w:eastAsia="方正小标宋简体"/>
          <w:sz w:val="44"/>
        </w:rPr>
        <w:t>202</w:t>
      </w:r>
      <w:r>
        <w:rPr>
          <w:rFonts w:hint="eastAsia" w:eastAsia="方正小标宋简体"/>
          <w:sz w:val="44"/>
        </w:rPr>
        <w:t>4</w:t>
      </w:r>
      <w:r>
        <w:rPr>
          <w:rFonts w:eastAsia="方正小标宋简体"/>
          <w:sz w:val="44"/>
        </w:rPr>
        <w:t>年度咨询研究项目</w:t>
      </w:r>
      <w:r>
        <w:rPr>
          <w:rFonts w:hint="eastAsia" w:eastAsia="方正小标宋简体"/>
          <w:sz w:val="44"/>
        </w:rPr>
        <w:t>申报</w:t>
      </w:r>
      <w:r>
        <w:rPr>
          <w:rFonts w:eastAsia="方正小标宋简体"/>
          <w:sz w:val="44"/>
        </w:rPr>
        <w:t>指南</w:t>
      </w:r>
    </w:p>
    <w:p>
      <w:pPr>
        <w:pStyle w:val="12"/>
        <w:spacing w:line="560" w:lineRule="exact"/>
        <w:ind w:firstLine="640" w:firstLineChars="200"/>
        <w:rPr>
          <w:rFonts w:ascii="仿宋" w:hAnsi="仿宋" w:eastAsia="仿宋" w:cs="仿宋_GB2312"/>
          <w:sz w:val="32"/>
          <w:szCs w:val="32"/>
        </w:rPr>
      </w:pP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全面贯彻落实党的二十大和二十届一中、二中全会精神，深入学习贯彻习近平总书记视察广东重要讲话、重要指示精神，牢牢扭住习近平总书记赋予广东在全面建设社会主义现代化国家新征程中走在全国前列、创造新的辉煌的使命任务，贯彻新发展理念、构建新发展格局、推动高质量发展，扎实推进粤港澳大湾区、深圳先行示范区和横琴、前海、南沙三大平台等重大战略部署，坚持创新驱动发展，坚持把科技自立自强作为发展的战略支撑，促使“基础研究+技术攻关+成果转化+科技金融+人才支撑”全链条发力。充分发挥好广东研究院高端智库作用和院士决策咨询作用，突出战略咨询研究选题的前瞻性、科学性和针对性，努力推动广东科技创新优势在新的高度立起来强起来，不断塑造高质量发展新优势，更好地为我省今后更长时期的发展把脉问方，中国工程科技发展战略广东研究院（以下简称：广东研究院）特制定2024年度咨询研究项目申报指南。</w:t>
      </w:r>
    </w:p>
    <w:p>
      <w:pPr>
        <w:pStyle w:val="12"/>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坚持以习近平新时代中国特色社会主义思想为指导，全面贯彻落实党的二十大精神，深入贯彻习近平总书记对广东系列重要讲话和重要指示精神，当好改革开放的排头兵、先行地、试验区，在推进全面深化改革、扩大高水平对外开放、提升科技自立自强能力、建设现代化产业体系、促进城乡区域协调发展等方面继续走在全国前列，在推进中国式现代化建设中走在前列。以粤港澳大湾区建设为牵引，扎实推进深圳先行示范区和横琴、前海、南沙三大平台等重大战略，全力打造中国式现代化先行示范区，加快推进高质量发展，推动经济由高速增长向高质量发展转变。按照“服务决策、适度超前”的原则,以准确、前瞻、及时、科学为准绳,聚焦广东省重大战略问题。加强综合研判和战略谋划能力，从源头上切实提升战略咨询的质量；加强科技攻关的结合，提升科技攻关的水平。</w:t>
      </w:r>
    </w:p>
    <w:p>
      <w:pPr>
        <w:pStyle w:val="12"/>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二、选题原则</w:t>
      </w:r>
    </w:p>
    <w:p>
      <w:pPr>
        <w:pStyle w:val="12"/>
        <w:spacing w:line="580" w:lineRule="exact"/>
        <w:ind w:firstLine="470" w:firstLineChars="147"/>
        <w:rPr>
          <w:rFonts w:ascii="楷体_GB2312" w:hAnsi="楷体" w:eastAsia="楷体_GB2312" w:cs="黑体"/>
          <w:bCs/>
          <w:sz w:val="32"/>
          <w:szCs w:val="32"/>
        </w:rPr>
      </w:pPr>
      <w:r>
        <w:rPr>
          <w:rFonts w:hint="eastAsia" w:ascii="楷体_GB2312" w:hAnsi="楷体" w:eastAsia="楷体_GB2312" w:cs="黑体"/>
          <w:bCs/>
          <w:sz w:val="32"/>
          <w:szCs w:val="32"/>
        </w:rPr>
        <w:t>（一）</w:t>
      </w:r>
      <w:r>
        <w:rPr>
          <w:rFonts w:hint="eastAsia" w:ascii="楷体_GB2312" w:hAnsi="楷体" w:eastAsia="楷体_GB2312" w:cs="楷体"/>
          <w:bCs/>
          <w:sz w:val="32"/>
          <w:szCs w:val="32"/>
        </w:rPr>
        <w:t>坚持服务决策的目标导向</w:t>
      </w: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落实全省高质量发展大会精神，以实体经济为本、坚持制造业当家，继续推进制造强省、质量强省建设，更高立起现代化产业体系支柱，正确把握社会主要矛盾和中心任务，把战略的坚定性和策略的灵活性结合起来。全面提升一系列发展战略和科技强省、制造强省、创新强省等战略目标,进一步聚焦战略咨询的研究方向。</w:t>
      </w:r>
    </w:p>
    <w:p>
      <w:pPr>
        <w:pStyle w:val="12"/>
        <w:spacing w:line="580" w:lineRule="exact"/>
        <w:ind w:firstLine="470" w:firstLineChars="147"/>
        <w:rPr>
          <w:rFonts w:ascii="楷体_GB2312" w:hAnsi="楷体" w:eastAsia="楷体_GB2312" w:cs="黑体"/>
          <w:bCs/>
          <w:sz w:val="32"/>
          <w:szCs w:val="32"/>
        </w:rPr>
      </w:pPr>
      <w:r>
        <w:rPr>
          <w:rFonts w:hint="eastAsia" w:ascii="楷体_GB2312" w:hAnsi="楷体" w:eastAsia="楷体_GB2312" w:cs="黑体"/>
          <w:bCs/>
          <w:sz w:val="32"/>
          <w:szCs w:val="32"/>
        </w:rPr>
        <w:t>（二）坚持聚焦实践问题导向</w:t>
      </w: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落实总书记提出的“要使粤港澳大湾区成为新发展格局的战略支点、高质量发展的示范地、中国式现代化的引领地”要求，聚焦实践“粤港澳大湾区、深圳先行示范区建设为牵引，扎实推进横琴、前海、南沙三个平台建设”遇到的新问题，攻克世界科技和产业前沿核心技术问题，加速科技自主创新和新技术产业化的重大问题，加快构建以创新为主要动力和支撑经济体系的突出问题；聚集院士专家力量，更好服务全省乃至全国高质量发展大局。</w:t>
      </w:r>
    </w:p>
    <w:p>
      <w:pPr>
        <w:pStyle w:val="12"/>
        <w:spacing w:line="580" w:lineRule="exact"/>
        <w:ind w:firstLine="470" w:firstLineChars="147"/>
        <w:rPr>
          <w:rFonts w:ascii="楷体_GB2312" w:hAnsi="楷体" w:eastAsia="楷体_GB2312" w:cs="黑体"/>
          <w:bCs/>
          <w:sz w:val="32"/>
          <w:szCs w:val="32"/>
        </w:rPr>
      </w:pPr>
      <w:r>
        <w:rPr>
          <w:rFonts w:hint="eastAsia" w:ascii="楷体_GB2312" w:hAnsi="楷体" w:eastAsia="楷体_GB2312" w:cs="黑体"/>
          <w:bCs/>
          <w:sz w:val="32"/>
          <w:szCs w:val="32"/>
        </w:rPr>
        <w:t>（三）坚持结合实际的需求导向</w:t>
      </w: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紧扣广东省及粤港澳大湾区发展的新战略新形势新任务新要求,</w:t>
      </w:r>
      <w:r>
        <w:rPr>
          <w:rFonts w:ascii="仿宋" w:hAnsi="仿宋" w:eastAsia="仿宋" w:cs="仿宋_GB2312"/>
          <w:sz w:val="32"/>
          <w:szCs w:val="32"/>
        </w:rPr>
        <w:t xml:space="preserve"> 坚持</w:t>
      </w:r>
      <w:r>
        <w:rPr>
          <w:rFonts w:hint="eastAsia" w:ascii="仿宋" w:hAnsi="仿宋" w:eastAsia="仿宋" w:cs="仿宋_GB2312"/>
          <w:sz w:val="32"/>
          <w:szCs w:val="32"/>
        </w:rPr>
        <w:t>接地气开展战略咨询研究的</w:t>
      </w:r>
      <w:r>
        <w:rPr>
          <w:rFonts w:ascii="仿宋" w:hAnsi="仿宋" w:eastAsia="仿宋" w:cs="仿宋_GB2312"/>
          <w:sz w:val="32"/>
          <w:szCs w:val="32"/>
        </w:rPr>
        <w:t>需求导向</w:t>
      </w:r>
      <w:r>
        <w:rPr>
          <w:rFonts w:hint="eastAsia" w:ascii="仿宋" w:hAnsi="仿宋" w:eastAsia="仿宋" w:cs="仿宋_GB2312"/>
          <w:sz w:val="32"/>
          <w:szCs w:val="32"/>
        </w:rPr>
        <w:t>。采取“自上而下”和“自下而上”相结合方法</w:t>
      </w:r>
      <w:r>
        <w:rPr>
          <w:rFonts w:ascii="仿宋" w:hAnsi="仿宋" w:eastAsia="仿宋" w:cs="仿宋_GB2312"/>
          <w:sz w:val="32"/>
          <w:szCs w:val="32"/>
        </w:rPr>
        <w:t>，</w:t>
      </w:r>
      <w:r>
        <w:rPr>
          <w:rFonts w:hint="eastAsia" w:ascii="仿宋" w:hAnsi="仿宋" w:eastAsia="仿宋" w:cs="仿宋_GB2312"/>
          <w:sz w:val="32"/>
          <w:szCs w:val="32"/>
        </w:rPr>
        <w:t>一方面,充分调研各省直、地市各有关部门的意见建议,提高咨询研究选题的必要性与针对性；另一方面,充分发动院士专家积极为咨询研究选题提出意见和建议,体现咨询研究的自主性和独立性。</w:t>
      </w:r>
    </w:p>
    <w:p>
      <w:pPr>
        <w:pStyle w:val="12"/>
        <w:spacing w:line="580" w:lineRule="exact"/>
        <w:ind w:firstLine="470" w:firstLineChars="147"/>
        <w:rPr>
          <w:rFonts w:ascii="楷体_GB2312" w:hAnsi="楷体" w:eastAsia="楷体_GB2312" w:cs="黑体"/>
          <w:bCs/>
          <w:sz w:val="32"/>
          <w:szCs w:val="32"/>
        </w:rPr>
      </w:pPr>
      <w:r>
        <w:rPr>
          <w:rFonts w:hint="eastAsia" w:ascii="楷体_GB2312" w:hAnsi="楷体" w:eastAsia="楷体_GB2312" w:cs="黑体"/>
          <w:bCs/>
          <w:sz w:val="32"/>
          <w:szCs w:val="32"/>
        </w:rPr>
        <w:t>（四）坚持战略咨询研究的特点</w:t>
      </w:r>
    </w:p>
    <w:p>
      <w:pPr>
        <w:pStyle w:val="1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注重咨询研究的战略性，更多地对一些具有前瞻性、战略性、全局性的重大问题进行研究。二是注重研究的创新性，不搞简单重复的咨询研究。三是注重调查研究，开放协作。鼓励更多院士、部门根据研究需要，多方联合申报重大、重点项目。四是适度超前，科学规划。把握新发展阶段，贯彻新发展理念。在深入调查研究的基础上，加强多学科、多部门的综合分析研判，更好提升咨询研究的质量。</w:t>
      </w:r>
    </w:p>
    <w:p>
      <w:pPr>
        <w:pStyle w:val="12"/>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三、立项领域及方向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sz w:val="32"/>
          <w:szCs w:val="32"/>
        </w:rPr>
        <w:t>《</w:t>
      </w:r>
      <w:r>
        <w:rPr>
          <w:rFonts w:ascii="仿宋" w:hAnsi="仿宋" w:eastAsia="仿宋"/>
          <w:sz w:val="32"/>
          <w:szCs w:val="32"/>
        </w:rPr>
        <w:t>粤港澳大湾区发展规划纲要》</w:t>
      </w:r>
      <w:r>
        <w:rPr>
          <w:rFonts w:hint="eastAsia" w:ascii="仿宋" w:hAnsi="仿宋" w:eastAsia="仿宋" w:cs="仿宋_GB2312"/>
          <w:sz w:val="32"/>
          <w:szCs w:val="32"/>
        </w:rPr>
        <w:t>《广东省人民政府关于培育发展战略性支柱产业集群和战略性新兴产业集群的意见》（粤府函</w:t>
      </w:r>
      <w:r>
        <w:rPr>
          <w:rFonts w:hint="eastAsia" w:ascii="仿宋_GB2312" w:hAnsi="仿宋" w:eastAsia="仿宋_GB2312" w:cs="仿宋_GB2312"/>
          <w:sz w:val="32"/>
          <w:szCs w:val="32"/>
        </w:rPr>
        <w:t>〔</w:t>
      </w:r>
      <w:r>
        <w:rPr>
          <w:rFonts w:hint="eastAsia" w:ascii="仿宋" w:hAnsi="仿宋" w:eastAsia="仿宋" w:cs="仿宋_GB2312"/>
          <w:sz w:val="32"/>
          <w:szCs w:val="32"/>
        </w:rPr>
        <w:t>2020</w:t>
      </w:r>
      <w:r>
        <w:rPr>
          <w:rFonts w:hint="eastAsia" w:ascii="仿宋_GB2312" w:hAnsi="仿宋" w:eastAsia="仿宋_GB2312" w:cs="仿宋_GB2312"/>
          <w:sz w:val="32"/>
          <w:szCs w:val="32"/>
        </w:rPr>
        <w:t>〕</w:t>
      </w:r>
      <w:r>
        <w:rPr>
          <w:rFonts w:hint="eastAsia" w:ascii="仿宋" w:hAnsi="仿宋" w:eastAsia="仿宋" w:cs="仿宋_GB2312"/>
          <w:sz w:val="32"/>
          <w:szCs w:val="32"/>
        </w:rPr>
        <w:t>82号）、《广东省国民经济和社会发展第十四个五年规划和2035年远景目标纲要》等文件精神，确定广东研究院2024年度咨询研究项目的立项方向与参考选题：</w:t>
      </w:r>
    </w:p>
    <w:p>
      <w:pPr>
        <w:spacing w:line="580" w:lineRule="exact"/>
        <w:ind w:firstLine="640" w:firstLineChars="200"/>
        <w:rPr>
          <w:rFonts w:ascii="楷体_GB2312" w:hAnsi="仿宋" w:eastAsia="楷体_GB2312" w:cs="仿宋_GB2312"/>
          <w:bCs/>
          <w:sz w:val="32"/>
          <w:szCs w:val="32"/>
        </w:rPr>
      </w:pPr>
      <w:r>
        <w:rPr>
          <w:rFonts w:hint="eastAsia" w:ascii="楷体_GB2312" w:hAnsi="仿宋" w:eastAsia="楷体_GB2312" w:cs="仿宋_GB2312"/>
          <w:bCs/>
          <w:sz w:val="32"/>
          <w:szCs w:val="32"/>
        </w:rPr>
        <w:t>（一）立项方向</w:t>
      </w:r>
    </w:p>
    <w:p>
      <w:pPr>
        <w:spacing w:line="580" w:lineRule="exact"/>
        <w:ind w:firstLine="643" w:firstLineChars="200"/>
        <w:rPr>
          <w:rFonts w:ascii="楷体_GB2312" w:hAnsi="仿宋" w:eastAsia="楷体_GB2312" w:cs="仿宋_GB2312"/>
          <w:b/>
          <w:bCs/>
          <w:sz w:val="32"/>
          <w:szCs w:val="32"/>
        </w:rPr>
      </w:pPr>
      <w:r>
        <w:rPr>
          <w:rFonts w:hint="eastAsia" w:ascii="仿宋" w:hAnsi="仿宋" w:eastAsia="仿宋" w:cs="仿宋_GB2312"/>
          <w:b/>
          <w:bCs/>
          <w:sz w:val="32"/>
          <w:szCs w:val="32"/>
        </w:rPr>
        <w:t>1.制造业当家和现代化产业相关战略研究。</w:t>
      </w:r>
      <w:r>
        <w:rPr>
          <w:rFonts w:hint="eastAsia" w:ascii="仿宋" w:hAnsi="仿宋" w:eastAsia="仿宋" w:cs="仿宋_GB2312"/>
          <w:sz w:val="32"/>
          <w:szCs w:val="32"/>
        </w:rPr>
        <w:t>研究项目主要以坚持制造业当家，抓好大产业、大平台、大项目、大企业、大环境，加快建设现代化产业体系；积极深化20大战略性产业集群建设，推进产业基础高级化、产业链现代化，实现产业链供应链的现代化升级；着力推动科技基础设施的升级和建设，促进科技与产业的深度融合，提升国家和地区的科技创新能力和核心竞争力。</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2.产业转型升级与科技自立自强相关战略研究。</w:t>
      </w:r>
      <w:r>
        <w:rPr>
          <w:rFonts w:hint="eastAsia" w:ascii="仿宋" w:hAnsi="仿宋" w:eastAsia="仿宋" w:cs="仿宋_GB2312"/>
          <w:sz w:val="32"/>
          <w:szCs w:val="32"/>
        </w:rPr>
        <w:t xml:space="preserve">研究项目主要以积极推动广东产业结构的优化和升级，通过推进技术创新和研发，推动传统产业的转型升级和新兴产业的蓬勃发展，提升产业链供应链韧性和竞争力；重点推动解决在设计、制造、供应链等方面应用基础研究薄弱的问题，深入推进科技体制改革，强化企业科技创新主体地位，汇聚加快实现高水平科技自立自强的强大合力。 </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3.推动区域协同发展平衡性和协调性相关战略研究。</w:t>
      </w:r>
      <w:r>
        <w:rPr>
          <w:rFonts w:hint="eastAsia" w:ascii="仿宋" w:hAnsi="仿宋" w:eastAsia="仿宋" w:cs="仿宋_GB2312"/>
          <w:sz w:val="32"/>
          <w:szCs w:val="32"/>
        </w:rPr>
        <w:t xml:space="preserve">研究项目主要以乡村振兴战略、区域协调发展战略、主体功能区战略、新型城镇化战略为牵引，加快智慧城市和智能交通系统的建设，提升区域创新能力和竞争力；加强创新合作与技术转移，促进产业链的协同发展和优化布局；做大做强海洋经济，加快建设海洋强省；促进广东省内不同地区的协同发展和合作共赢，提高我省经济社会高质量发展的平衡性和协调性。 </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4.高水平卫生医疗与公共安全体系相关战略研究。</w:t>
      </w:r>
      <w:r>
        <w:rPr>
          <w:rFonts w:hint="eastAsia" w:ascii="仿宋" w:hAnsi="仿宋" w:eastAsia="仿宋" w:cs="仿宋_GB2312"/>
          <w:sz w:val="32"/>
          <w:szCs w:val="32"/>
        </w:rPr>
        <w:t>研究项目致力于加强健康与医疗领域的研究和发展，推动未来医疗技术的创新，实现新时代智慧医养结合高水平医疗卫生体系、多层次社会保障体系，提高公共服务水平和均衡性可及性；贯彻总体国家安全观，建立大安全大应急框架，全力防范化解粮食、能源资源、重要产业链供应链安全风险。</w:t>
      </w:r>
    </w:p>
    <w:p>
      <w:pPr>
        <w:spacing w:line="580" w:lineRule="exact"/>
        <w:ind w:firstLine="640" w:firstLineChars="200"/>
        <w:rPr>
          <w:rFonts w:ascii="楷体_GB2312" w:hAnsi="仿宋" w:eastAsia="楷体_GB2312" w:cs="仿宋_GB2312"/>
          <w:bCs/>
          <w:sz w:val="32"/>
          <w:szCs w:val="32"/>
        </w:rPr>
      </w:pPr>
      <w:r>
        <w:rPr>
          <w:rFonts w:hint="eastAsia" w:ascii="楷体_GB2312" w:hAnsi="仿宋" w:eastAsia="楷体_GB2312" w:cs="仿宋_GB2312"/>
          <w:bCs/>
          <w:sz w:val="32"/>
          <w:szCs w:val="32"/>
        </w:rPr>
        <w:t>（二）主要参考选题</w:t>
      </w:r>
    </w:p>
    <w:p>
      <w:pPr>
        <w:spacing w:line="580" w:lineRule="exact"/>
        <w:ind w:firstLine="640" w:firstLineChars="200"/>
        <w:rPr>
          <w:rFonts w:ascii="仿宋" w:hAnsi="仿宋" w:eastAsia="仿宋" w:cs="黑体"/>
          <w:sz w:val="32"/>
          <w:szCs w:val="32"/>
        </w:rPr>
      </w:pPr>
      <w:r>
        <w:rPr>
          <w:rFonts w:hint="eastAsia" w:ascii="仿宋" w:hAnsi="仿宋" w:eastAsia="仿宋"/>
          <w:sz w:val="32"/>
        </w:rPr>
        <w:t>按照所涉及的领域和规模，广东研究院项目分为重大项目、重点项目和专题（一般）项目三类。申报的项目选题原则上</w:t>
      </w:r>
      <w:r>
        <w:rPr>
          <w:rFonts w:hint="eastAsia" w:ascii="仿宋" w:hAnsi="仿宋" w:eastAsia="仿宋"/>
          <w:sz w:val="32"/>
          <w:szCs w:val="32"/>
        </w:rPr>
        <w:t>为《指南》所列的主要研究方向，包括但不限于主要参考选题。</w:t>
      </w:r>
    </w:p>
    <w:p>
      <w:pPr>
        <w:tabs>
          <w:tab w:val="left" w:pos="312"/>
        </w:tabs>
        <w:spacing w:line="580" w:lineRule="exact"/>
        <w:ind w:firstLine="630" w:firstLineChars="196"/>
        <w:rPr>
          <w:rFonts w:ascii="仿宋" w:hAnsi="仿宋" w:eastAsia="仿宋" w:cs="仿宋_GB2312"/>
          <w:b/>
          <w:bCs/>
          <w:sz w:val="32"/>
          <w:szCs w:val="32"/>
        </w:rPr>
      </w:pPr>
      <w:r>
        <w:rPr>
          <w:rFonts w:hint="eastAsia" w:ascii="仿宋" w:hAnsi="仿宋" w:eastAsia="仿宋" w:cs="仿宋_GB2312"/>
          <w:b/>
          <w:bCs/>
          <w:sz w:val="32"/>
          <w:szCs w:val="32"/>
        </w:rPr>
        <w:t>1.重大和重点项目参考选题</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（1）广东省重大科技基础设施集群发展战略研究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（2）广东省低空经济产业发展战略研究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（3）制造业当家背景下的卓越工程师培养战略研究 </w:t>
      </w:r>
    </w:p>
    <w:p>
      <w:pPr>
        <w:spacing w:line="580" w:lineRule="exact"/>
        <w:ind w:firstLine="447" w:firstLineChars="150"/>
        <w:rPr>
          <w:rFonts w:ascii="仿宋" w:hAnsi="仿宋" w:eastAsia="仿宋" w:cs="仿宋_GB2312"/>
          <w:spacing w:val="-11"/>
          <w:sz w:val="32"/>
          <w:szCs w:val="32"/>
        </w:rPr>
      </w:pPr>
      <w:r>
        <w:rPr>
          <w:rFonts w:hint="eastAsia" w:ascii="仿宋" w:hAnsi="仿宋" w:eastAsia="仿宋" w:cs="仿宋_GB2312"/>
          <w:spacing w:val="-11"/>
          <w:sz w:val="32"/>
          <w:szCs w:val="32"/>
        </w:rPr>
        <w:t xml:space="preserve">（4）广东省新型储能产业发展战略与技术路线研究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（5）广东省智慧医养产业发展战略研究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（6）人工智能与装备制造产业融合发展战略研究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（7）广东“创新链－产业链－资金链－人才链”深度融合发展路径研究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（8）新时代广东省能源高质量发展战略研究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（9）广东省新一代信息技术产业融合集群发展战略研究 </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 xml:space="preserve">（10）粤港澳大湾区城市基础设施高品质建设创新发展战略研究 </w:t>
      </w:r>
    </w:p>
    <w:p>
      <w:pPr>
        <w:spacing w:line="580" w:lineRule="exact"/>
        <w:ind w:firstLine="790" w:firstLineChars="246"/>
        <w:rPr>
          <w:rFonts w:ascii="仿宋" w:hAnsi="仿宋" w:eastAsia="仿宋" w:cs="仿宋_GB2312"/>
          <w:b/>
          <w:bCs/>
          <w:sz w:val="32"/>
          <w:szCs w:val="32"/>
        </w:rPr>
      </w:pPr>
      <w:r>
        <w:rPr>
          <w:rFonts w:ascii="仿宋" w:hAnsi="仿宋" w:eastAsia="仿宋" w:cs="仿宋_GB2312"/>
          <w:b/>
          <w:bCs/>
          <w:sz w:val="32"/>
          <w:szCs w:val="32"/>
        </w:rPr>
        <w:t>2</w:t>
      </w:r>
      <w:r>
        <w:rPr>
          <w:rFonts w:hint="eastAsia" w:ascii="仿宋" w:hAnsi="仿宋" w:eastAsia="仿宋" w:cs="仿宋_GB2312"/>
          <w:b/>
          <w:bCs/>
          <w:sz w:val="32"/>
          <w:szCs w:val="32"/>
        </w:rPr>
        <w:t>.专题（一般）项目参考选题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（1）广东省核心及新兴产业关键材料发展战略研究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（2）广东省科技领军企业培育发展战略研究 </w:t>
      </w:r>
    </w:p>
    <w:p>
      <w:pPr>
        <w:spacing w:line="580" w:lineRule="exact"/>
        <w:ind w:firstLine="640" w:firstLineChars="200"/>
        <w:rPr>
          <w:rFonts w:ascii="仿宋" w:hAnsi="仿宋" w:eastAsia="仿宋" w:cs="仿宋_GB2312"/>
          <w:spacing w:val="-6"/>
          <w:sz w:val="32"/>
          <w:szCs w:val="32"/>
        </w:rPr>
      </w:pPr>
      <w:r>
        <w:rPr>
          <w:rFonts w:hint="eastAsia" w:ascii="仿宋" w:hAnsi="仿宋" w:eastAsia="仿宋" w:cs="仿宋_GB2312"/>
          <w:sz w:val="32"/>
          <w:szCs w:val="32"/>
        </w:rPr>
        <w:t>（3）</w:t>
      </w:r>
      <w:r>
        <w:rPr>
          <w:rFonts w:hint="eastAsia" w:ascii="仿宋" w:hAnsi="仿宋" w:eastAsia="仿宋" w:cs="仿宋_GB2312"/>
          <w:spacing w:val="-6"/>
          <w:sz w:val="32"/>
          <w:szCs w:val="32"/>
        </w:rPr>
        <w:t xml:space="preserve">“双碳”目标下广东省固废产业高质量发展战略研究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（4）广东省海水淡化产业发展战略研究 </w:t>
      </w:r>
    </w:p>
    <w:p>
      <w:pPr>
        <w:spacing w:line="58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 xml:space="preserve">（5）广东省“百县千镇万村工程”高质量发展路径研究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（6）广东省现代化海洋牧场发展战略研究 </w:t>
      </w:r>
    </w:p>
    <w:p>
      <w:pPr>
        <w:spacing w:line="580" w:lineRule="exact"/>
        <w:ind w:firstLine="640" w:firstLineChars="200"/>
        <w:rPr>
          <w:rFonts w:ascii="仿宋" w:hAnsi="仿宋" w:eastAsia="仿宋" w:cs="仿宋_GB2312"/>
          <w:spacing w:val="-6"/>
          <w:sz w:val="32"/>
          <w:szCs w:val="32"/>
        </w:rPr>
      </w:pPr>
      <w:r>
        <w:rPr>
          <w:rFonts w:hint="eastAsia" w:ascii="仿宋" w:hAnsi="仿宋" w:eastAsia="仿宋" w:cs="仿宋_GB2312"/>
          <w:sz w:val="32"/>
          <w:szCs w:val="32"/>
        </w:rPr>
        <w:t>（7）</w:t>
      </w:r>
      <w:r>
        <w:rPr>
          <w:rFonts w:hint="eastAsia" w:ascii="仿宋" w:hAnsi="仿宋" w:eastAsia="仿宋" w:cs="仿宋_GB2312"/>
          <w:spacing w:val="-6"/>
          <w:sz w:val="32"/>
          <w:szCs w:val="32"/>
        </w:rPr>
        <w:t xml:space="preserve">新型举国体制下的关键技术攻关的广东路径研究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（8）广东省高端船港产业发展战略研究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（9）广东省科技金融深度融合发展路径研究</w:t>
      </w:r>
    </w:p>
    <w:p>
      <w:pPr>
        <w:spacing w:line="580" w:lineRule="exact"/>
        <w:ind w:firstLine="480" w:firstLineChars="150"/>
        <w:rPr>
          <w:rFonts w:hint="eastAsia" w:ascii="仿宋" w:hAnsi="仿宋" w:eastAsia="仿宋" w:cs="仿宋"/>
          <w:sz w:val="32"/>
          <w:szCs w:val="32"/>
        </w:rPr>
      </w:pPr>
    </w:p>
    <w:p>
      <w:pPr>
        <w:spacing w:line="20" w:lineRule="exact"/>
        <w:rPr>
          <w:rFonts w:ascii="仿宋" w:hAnsi="仿宋" w:eastAsia="仿宋" w:cs="仿宋_GB2312"/>
          <w:sz w:val="32"/>
          <w:szCs w:val="32"/>
        </w:rPr>
      </w:pPr>
    </w:p>
    <w:sectPr>
      <w:footerReference r:id="rId3" w:type="default"/>
      <w:footerReference r:id="rId4" w:type="even"/>
      <w:pgSz w:w="11906" w:h="16838"/>
      <w:pgMar w:top="1985" w:right="1814" w:bottom="1361" w:left="181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inherit">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华文中宋" w:hAnsi="华文中宋" w:eastAsia="华文中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p>
    <w:pPr>
      <w:pStyle w:val="1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lupq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CJbqatAQAASwMA&#10;AA4AAAAAAAAAAQAgAAAAHgEAAGRycy9lMm9Eb2MueG1sUEsFBgAAAAAGAAYAWQEAAD0FAAAAAA==&#10;">
              <v:fill on="f" focussize="0,0"/>
              <v:stroke on="f"/>
              <v:imagedata o:title=""/>
              <o:lock v:ext="edit" aspectratio="f"/>
              <v:textbox inset="0mm,0mm,0mm,0mm" style="mso-fit-shape-to-text:t;">
                <w:txbxContent>
                  <w:p>
                    <w:pPr>
                      <w:pStyle w:val="10"/>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NTZiOTY2ZjExYjdhOGYyMmVmNGIwYzNiOGQzMmMifQ=="/>
  </w:docVars>
  <w:rsids>
    <w:rsidRoot w:val="00172A27"/>
    <w:rsid w:val="00002B37"/>
    <w:rsid w:val="000121CB"/>
    <w:rsid w:val="00023BAD"/>
    <w:rsid w:val="00025492"/>
    <w:rsid w:val="00026B00"/>
    <w:rsid w:val="000301A9"/>
    <w:rsid w:val="00033B38"/>
    <w:rsid w:val="00043553"/>
    <w:rsid w:val="00055CAC"/>
    <w:rsid w:val="00056231"/>
    <w:rsid w:val="000624D5"/>
    <w:rsid w:val="00077341"/>
    <w:rsid w:val="0008379D"/>
    <w:rsid w:val="000A1B54"/>
    <w:rsid w:val="000B7E98"/>
    <w:rsid w:val="000C52B6"/>
    <w:rsid w:val="000C5360"/>
    <w:rsid w:val="000C5DFE"/>
    <w:rsid w:val="000C7D8B"/>
    <w:rsid w:val="000D57D6"/>
    <w:rsid w:val="000D5D49"/>
    <w:rsid w:val="000E463E"/>
    <w:rsid w:val="000E508A"/>
    <w:rsid w:val="000E6D9A"/>
    <w:rsid w:val="000F53E7"/>
    <w:rsid w:val="00100ADF"/>
    <w:rsid w:val="00106DFE"/>
    <w:rsid w:val="00112CC4"/>
    <w:rsid w:val="00112D94"/>
    <w:rsid w:val="00114B5F"/>
    <w:rsid w:val="00116A30"/>
    <w:rsid w:val="0011704F"/>
    <w:rsid w:val="00135BCD"/>
    <w:rsid w:val="00135D9B"/>
    <w:rsid w:val="001362DF"/>
    <w:rsid w:val="00140D98"/>
    <w:rsid w:val="00152D73"/>
    <w:rsid w:val="001536F8"/>
    <w:rsid w:val="00154ADD"/>
    <w:rsid w:val="00175A27"/>
    <w:rsid w:val="001941D1"/>
    <w:rsid w:val="00195A89"/>
    <w:rsid w:val="00196FCE"/>
    <w:rsid w:val="001A0520"/>
    <w:rsid w:val="001A30B5"/>
    <w:rsid w:val="001B2B09"/>
    <w:rsid w:val="001C1B8E"/>
    <w:rsid w:val="001D6B8D"/>
    <w:rsid w:val="001E76CC"/>
    <w:rsid w:val="001F775F"/>
    <w:rsid w:val="00205841"/>
    <w:rsid w:val="00205887"/>
    <w:rsid w:val="00213549"/>
    <w:rsid w:val="0022285B"/>
    <w:rsid w:val="00236C3A"/>
    <w:rsid w:val="00250CE8"/>
    <w:rsid w:val="002549E1"/>
    <w:rsid w:val="00261572"/>
    <w:rsid w:val="00271660"/>
    <w:rsid w:val="00283472"/>
    <w:rsid w:val="002866B3"/>
    <w:rsid w:val="0029375F"/>
    <w:rsid w:val="002A21C0"/>
    <w:rsid w:val="002A31A7"/>
    <w:rsid w:val="002A590D"/>
    <w:rsid w:val="002A7F4C"/>
    <w:rsid w:val="002D0508"/>
    <w:rsid w:val="002D71DE"/>
    <w:rsid w:val="002E24DE"/>
    <w:rsid w:val="002E2DD3"/>
    <w:rsid w:val="002E565D"/>
    <w:rsid w:val="002E6A3B"/>
    <w:rsid w:val="002E753F"/>
    <w:rsid w:val="002F3BE5"/>
    <w:rsid w:val="00303980"/>
    <w:rsid w:val="00304177"/>
    <w:rsid w:val="00304B3E"/>
    <w:rsid w:val="00307793"/>
    <w:rsid w:val="003100C0"/>
    <w:rsid w:val="00313826"/>
    <w:rsid w:val="003140CB"/>
    <w:rsid w:val="00332923"/>
    <w:rsid w:val="00336803"/>
    <w:rsid w:val="00340180"/>
    <w:rsid w:val="003460A4"/>
    <w:rsid w:val="00346771"/>
    <w:rsid w:val="00347DB8"/>
    <w:rsid w:val="0035135D"/>
    <w:rsid w:val="00390E31"/>
    <w:rsid w:val="0039684E"/>
    <w:rsid w:val="003B3641"/>
    <w:rsid w:val="003C5D6F"/>
    <w:rsid w:val="003C6A3D"/>
    <w:rsid w:val="003D5E60"/>
    <w:rsid w:val="003E2CA2"/>
    <w:rsid w:val="003F67A3"/>
    <w:rsid w:val="0040214B"/>
    <w:rsid w:val="00402DA4"/>
    <w:rsid w:val="004159F3"/>
    <w:rsid w:val="00421BB4"/>
    <w:rsid w:val="004232B8"/>
    <w:rsid w:val="00433FD5"/>
    <w:rsid w:val="00434E27"/>
    <w:rsid w:val="00446F6E"/>
    <w:rsid w:val="004544A7"/>
    <w:rsid w:val="00454D42"/>
    <w:rsid w:val="0045683E"/>
    <w:rsid w:val="00472219"/>
    <w:rsid w:val="004727EC"/>
    <w:rsid w:val="00473F05"/>
    <w:rsid w:val="00476F19"/>
    <w:rsid w:val="0049498B"/>
    <w:rsid w:val="004A1057"/>
    <w:rsid w:val="004A2702"/>
    <w:rsid w:val="004B29AB"/>
    <w:rsid w:val="004C1800"/>
    <w:rsid w:val="004C576C"/>
    <w:rsid w:val="004C6C85"/>
    <w:rsid w:val="004E1EC0"/>
    <w:rsid w:val="004E53D1"/>
    <w:rsid w:val="004E635D"/>
    <w:rsid w:val="004F10B2"/>
    <w:rsid w:val="00501C58"/>
    <w:rsid w:val="0050794D"/>
    <w:rsid w:val="005210EA"/>
    <w:rsid w:val="00526983"/>
    <w:rsid w:val="00530DF1"/>
    <w:rsid w:val="0053573D"/>
    <w:rsid w:val="00535A19"/>
    <w:rsid w:val="00536FB9"/>
    <w:rsid w:val="00544D23"/>
    <w:rsid w:val="005467CC"/>
    <w:rsid w:val="00571D6C"/>
    <w:rsid w:val="00571FC1"/>
    <w:rsid w:val="00572967"/>
    <w:rsid w:val="0059634C"/>
    <w:rsid w:val="005C2222"/>
    <w:rsid w:val="005D0EA3"/>
    <w:rsid w:val="005D1BBA"/>
    <w:rsid w:val="005E4E6E"/>
    <w:rsid w:val="005F0223"/>
    <w:rsid w:val="005F1675"/>
    <w:rsid w:val="00604406"/>
    <w:rsid w:val="00623620"/>
    <w:rsid w:val="006266EB"/>
    <w:rsid w:val="006337A1"/>
    <w:rsid w:val="00637186"/>
    <w:rsid w:val="00637DA9"/>
    <w:rsid w:val="00641599"/>
    <w:rsid w:val="006574A9"/>
    <w:rsid w:val="00666B69"/>
    <w:rsid w:val="00680D8D"/>
    <w:rsid w:val="00686ADA"/>
    <w:rsid w:val="00691480"/>
    <w:rsid w:val="006927E7"/>
    <w:rsid w:val="006A1278"/>
    <w:rsid w:val="006A4056"/>
    <w:rsid w:val="006A42AC"/>
    <w:rsid w:val="006A7E2F"/>
    <w:rsid w:val="006B22CA"/>
    <w:rsid w:val="006B3755"/>
    <w:rsid w:val="006B6B69"/>
    <w:rsid w:val="006D0CD3"/>
    <w:rsid w:val="006D4D44"/>
    <w:rsid w:val="006D57A0"/>
    <w:rsid w:val="006D595E"/>
    <w:rsid w:val="006E06B3"/>
    <w:rsid w:val="006E0AB9"/>
    <w:rsid w:val="006E6C37"/>
    <w:rsid w:val="006F52B2"/>
    <w:rsid w:val="006F67F9"/>
    <w:rsid w:val="006F6EB7"/>
    <w:rsid w:val="0070338D"/>
    <w:rsid w:val="00706B56"/>
    <w:rsid w:val="00711153"/>
    <w:rsid w:val="00715B48"/>
    <w:rsid w:val="00717D4C"/>
    <w:rsid w:val="00722932"/>
    <w:rsid w:val="0072735C"/>
    <w:rsid w:val="007338AC"/>
    <w:rsid w:val="00740E0E"/>
    <w:rsid w:val="00741A3B"/>
    <w:rsid w:val="00745B78"/>
    <w:rsid w:val="00755DF2"/>
    <w:rsid w:val="00767431"/>
    <w:rsid w:val="00775699"/>
    <w:rsid w:val="00786DE3"/>
    <w:rsid w:val="007872FC"/>
    <w:rsid w:val="00790B06"/>
    <w:rsid w:val="007A6C37"/>
    <w:rsid w:val="007B0802"/>
    <w:rsid w:val="007B670D"/>
    <w:rsid w:val="007C3C73"/>
    <w:rsid w:val="007D22E3"/>
    <w:rsid w:val="007D293E"/>
    <w:rsid w:val="007D3641"/>
    <w:rsid w:val="007D5E6C"/>
    <w:rsid w:val="007E1331"/>
    <w:rsid w:val="007F2A39"/>
    <w:rsid w:val="007F5F9E"/>
    <w:rsid w:val="00817194"/>
    <w:rsid w:val="008341FB"/>
    <w:rsid w:val="00840747"/>
    <w:rsid w:val="008436BD"/>
    <w:rsid w:val="00851954"/>
    <w:rsid w:val="008557C4"/>
    <w:rsid w:val="00860343"/>
    <w:rsid w:val="00865F6A"/>
    <w:rsid w:val="00867669"/>
    <w:rsid w:val="00872B1E"/>
    <w:rsid w:val="0088790B"/>
    <w:rsid w:val="00891BC1"/>
    <w:rsid w:val="008925AD"/>
    <w:rsid w:val="00892A2E"/>
    <w:rsid w:val="00895694"/>
    <w:rsid w:val="008A61BA"/>
    <w:rsid w:val="008B26F2"/>
    <w:rsid w:val="008B3D15"/>
    <w:rsid w:val="008B5E51"/>
    <w:rsid w:val="008C00DD"/>
    <w:rsid w:val="008C0DE3"/>
    <w:rsid w:val="008C6CCB"/>
    <w:rsid w:val="008D0410"/>
    <w:rsid w:val="008D072C"/>
    <w:rsid w:val="008D3B84"/>
    <w:rsid w:val="008F5021"/>
    <w:rsid w:val="009057FF"/>
    <w:rsid w:val="00910E8E"/>
    <w:rsid w:val="00911761"/>
    <w:rsid w:val="00922F0C"/>
    <w:rsid w:val="00924B58"/>
    <w:rsid w:val="0092524D"/>
    <w:rsid w:val="00932413"/>
    <w:rsid w:val="00933000"/>
    <w:rsid w:val="00947799"/>
    <w:rsid w:val="00961F93"/>
    <w:rsid w:val="00975D3B"/>
    <w:rsid w:val="00981E8F"/>
    <w:rsid w:val="00982FD1"/>
    <w:rsid w:val="00983662"/>
    <w:rsid w:val="00990C3F"/>
    <w:rsid w:val="009A2EC5"/>
    <w:rsid w:val="009A6F46"/>
    <w:rsid w:val="009A7B9E"/>
    <w:rsid w:val="009B446E"/>
    <w:rsid w:val="009B4C1B"/>
    <w:rsid w:val="009B6286"/>
    <w:rsid w:val="009C6F9B"/>
    <w:rsid w:val="00A12411"/>
    <w:rsid w:val="00A25E0D"/>
    <w:rsid w:val="00A32C69"/>
    <w:rsid w:val="00A64F80"/>
    <w:rsid w:val="00A72B95"/>
    <w:rsid w:val="00A86980"/>
    <w:rsid w:val="00A94652"/>
    <w:rsid w:val="00AA3BA0"/>
    <w:rsid w:val="00AA7401"/>
    <w:rsid w:val="00AB3ADB"/>
    <w:rsid w:val="00AC015D"/>
    <w:rsid w:val="00AF2B64"/>
    <w:rsid w:val="00AF4096"/>
    <w:rsid w:val="00B1111B"/>
    <w:rsid w:val="00B155F9"/>
    <w:rsid w:val="00B17745"/>
    <w:rsid w:val="00B20180"/>
    <w:rsid w:val="00B301B8"/>
    <w:rsid w:val="00B32179"/>
    <w:rsid w:val="00B47EB1"/>
    <w:rsid w:val="00B5529F"/>
    <w:rsid w:val="00B63F9C"/>
    <w:rsid w:val="00B773AB"/>
    <w:rsid w:val="00B81C44"/>
    <w:rsid w:val="00B85F16"/>
    <w:rsid w:val="00BA2939"/>
    <w:rsid w:val="00BA6CD6"/>
    <w:rsid w:val="00BB27F2"/>
    <w:rsid w:val="00BE1DAC"/>
    <w:rsid w:val="00BE4552"/>
    <w:rsid w:val="00BF0BC7"/>
    <w:rsid w:val="00BF3CF5"/>
    <w:rsid w:val="00C00524"/>
    <w:rsid w:val="00C0434F"/>
    <w:rsid w:val="00C37B62"/>
    <w:rsid w:val="00C4215A"/>
    <w:rsid w:val="00C44EC9"/>
    <w:rsid w:val="00C5355C"/>
    <w:rsid w:val="00C657E7"/>
    <w:rsid w:val="00C66F27"/>
    <w:rsid w:val="00C973A1"/>
    <w:rsid w:val="00CA3398"/>
    <w:rsid w:val="00CA6074"/>
    <w:rsid w:val="00CB3706"/>
    <w:rsid w:val="00CD6CB7"/>
    <w:rsid w:val="00CE0670"/>
    <w:rsid w:val="00D032A5"/>
    <w:rsid w:val="00D03AAB"/>
    <w:rsid w:val="00D4056E"/>
    <w:rsid w:val="00D63A27"/>
    <w:rsid w:val="00D67E7E"/>
    <w:rsid w:val="00D73B8E"/>
    <w:rsid w:val="00D73BA2"/>
    <w:rsid w:val="00D845B8"/>
    <w:rsid w:val="00D85636"/>
    <w:rsid w:val="00D95703"/>
    <w:rsid w:val="00D97D94"/>
    <w:rsid w:val="00DA0705"/>
    <w:rsid w:val="00DA5BAB"/>
    <w:rsid w:val="00DB0A87"/>
    <w:rsid w:val="00DB4FDF"/>
    <w:rsid w:val="00DD4509"/>
    <w:rsid w:val="00DF4273"/>
    <w:rsid w:val="00E073F1"/>
    <w:rsid w:val="00E10604"/>
    <w:rsid w:val="00E1222F"/>
    <w:rsid w:val="00E1579F"/>
    <w:rsid w:val="00E16B15"/>
    <w:rsid w:val="00E51E32"/>
    <w:rsid w:val="00E51EC1"/>
    <w:rsid w:val="00E77B91"/>
    <w:rsid w:val="00E80514"/>
    <w:rsid w:val="00E85C22"/>
    <w:rsid w:val="00E95411"/>
    <w:rsid w:val="00E95582"/>
    <w:rsid w:val="00E957E9"/>
    <w:rsid w:val="00EB4337"/>
    <w:rsid w:val="00EB5187"/>
    <w:rsid w:val="00EC2D0D"/>
    <w:rsid w:val="00ED2E5C"/>
    <w:rsid w:val="00ED69BD"/>
    <w:rsid w:val="00ED703E"/>
    <w:rsid w:val="00EE0FBF"/>
    <w:rsid w:val="00EE4FB4"/>
    <w:rsid w:val="00EF0908"/>
    <w:rsid w:val="00EF4739"/>
    <w:rsid w:val="00EF7C01"/>
    <w:rsid w:val="00F1450C"/>
    <w:rsid w:val="00F1623F"/>
    <w:rsid w:val="00F16D5D"/>
    <w:rsid w:val="00F224C2"/>
    <w:rsid w:val="00F263F7"/>
    <w:rsid w:val="00F27668"/>
    <w:rsid w:val="00F30E1A"/>
    <w:rsid w:val="00F35E50"/>
    <w:rsid w:val="00F36893"/>
    <w:rsid w:val="00F44C03"/>
    <w:rsid w:val="00F60FE0"/>
    <w:rsid w:val="00F642B6"/>
    <w:rsid w:val="00F650FE"/>
    <w:rsid w:val="00F73A8A"/>
    <w:rsid w:val="00F760FB"/>
    <w:rsid w:val="00F77F28"/>
    <w:rsid w:val="00F81EFC"/>
    <w:rsid w:val="00F924EE"/>
    <w:rsid w:val="00F97839"/>
    <w:rsid w:val="00FA5C65"/>
    <w:rsid w:val="00FA60AF"/>
    <w:rsid w:val="00FB0072"/>
    <w:rsid w:val="00FB0D8A"/>
    <w:rsid w:val="00FD27C4"/>
    <w:rsid w:val="00FD4D41"/>
    <w:rsid w:val="00FE1709"/>
    <w:rsid w:val="014C1229"/>
    <w:rsid w:val="02A6009D"/>
    <w:rsid w:val="03644867"/>
    <w:rsid w:val="04730C2E"/>
    <w:rsid w:val="06C746D6"/>
    <w:rsid w:val="07074150"/>
    <w:rsid w:val="07314B82"/>
    <w:rsid w:val="08A8322F"/>
    <w:rsid w:val="08C41B3F"/>
    <w:rsid w:val="09B531EB"/>
    <w:rsid w:val="0A4C339F"/>
    <w:rsid w:val="0AAD3965"/>
    <w:rsid w:val="0E304DFE"/>
    <w:rsid w:val="10F266D4"/>
    <w:rsid w:val="112744B5"/>
    <w:rsid w:val="11EB7CA1"/>
    <w:rsid w:val="12884473"/>
    <w:rsid w:val="14532473"/>
    <w:rsid w:val="162A58F9"/>
    <w:rsid w:val="17E4607A"/>
    <w:rsid w:val="194E0549"/>
    <w:rsid w:val="1B366220"/>
    <w:rsid w:val="1C8C4BC4"/>
    <w:rsid w:val="1D0761DF"/>
    <w:rsid w:val="1DDF0A24"/>
    <w:rsid w:val="1DFF4EC3"/>
    <w:rsid w:val="1F750DDD"/>
    <w:rsid w:val="2136495B"/>
    <w:rsid w:val="213C5A08"/>
    <w:rsid w:val="217A75A0"/>
    <w:rsid w:val="217D6AB9"/>
    <w:rsid w:val="23140B0F"/>
    <w:rsid w:val="25F5125A"/>
    <w:rsid w:val="269B71A9"/>
    <w:rsid w:val="27777E5C"/>
    <w:rsid w:val="29334C41"/>
    <w:rsid w:val="298833C3"/>
    <w:rsid w:val="2A0C3948"/>
    <w:rsid w:val="2DD33986"/>
    <w:rsid w:val="2DE931CB"/>
    <w:rsid w:val="2FF170A1"/>
    <w:rsid w:val="303278B7"/>
    <w:rsid w:val="30735A7C"/>
    <w:rsid w:val="33031F4D"/>
    <w:rsid w:val="339023D7"/>
    <w:rsid w:val="340B04D8"/>
    <w:rsid w:val="36CC4215"/>
    <w:rsid w:val="39775EDD"/>
    <w:rsid w:val="3C5C62A0"/>
    <w:rsid w:val="3ED9479C"/>
    <w:rsid w:val="40196327"/>
    <w:rsid w:val="41A069B0"/>
    <w:rsid w:val="42944C60"/>
    <w:rsid w:val="447C545E"/>
    <w:rsid w:val="44D475AE"/>
    <w:rsid w:val="461B2171"/>
    <w:rsid w:val="47D02769"/>
    <w:rsid w:val="4AA30431"/>
    <w:rsid w:val="4ABD6CF5"/>
    <w:rsid w:val="4D75194E"/>
    <w:rsid w:val="4F533DBA"/>
    <w:rsid w:val="525A4A8E"/>
    <w:rsid w:val="5303450E"/>
    <w:rsid w:val="53AD47AD"/>
    <w:rsid w:val="541C7FDD"/>
    <w:rsid w:val="55150C4D"/>
    <w:rsid w:val="55317BF7"/>
    <w:rsid w:val="55D734A1"/>
    <w:rsid w:val="562D1CB7"/>
    <w:rsid w:val="5716432E"/>
    <w:rsid w:val="586556E2"/>
    <w:rsid w:val="590970DA"/>
    <w:rsid w:val="5A2F64ED"/>
    <w:rsid w:val="5AF8376B"/>
    <w:rsid w:val="5BFD3504"/>
    <w:rsid w:val="5D8B4F5F"/>
    <w:rsid w:val="61B42681"/>
    <w:rsid w:val="62561FC1"/>
    <w:rsid w:val="67661453"/>
    <w:rsid w:val="68FC4A92"/>
    <w:rsid w:val="6BD56C3A"/>
    <w:rsid w:val="6D1E34A4"/>
    <w:rsid w:val="70846393"/>
    <w:rsid w:val="709C1E05"/>
    <w:rsid w:val="75EC2ED7"/>
    <w:rsid w:val="793A1DF8"/>
    <w:rsid w:val="7C8E175F"/>
    <w:rsid w:val="7D4C3DA7"/>
    <w:rsid w:val="7D660714"/>
    <w:rsid w:val="7D8FA404"/>
    <w:rsid w:val="7E6108A7"/>
    <w:rsid w:val="7EDD1930"/>
    <w:rsid w:val="F75FF5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3">
    <w:name w:val="Default Paragraph Font"/>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caption"/>
    <w:basedOn w:val="1"/>
    <w:next w:val="1"/>
    <w:qFormat/>
    <w:uiPriority w:val="35"/>
    <w:rPr>
      <w:rFonts w:ascii="Cambria" w:hAnsi="Cambria" w:eastAsia="黑体"/>
      <w:sz w:val="20"/>
      <w:szCs w:val="20"/>
    </w:rPr>
  </w:style>
  <w:style w:type="paragraph" w:styleId="5">
    <w:name w:val="annotation text"/>
    <w:basedOn w:val="1"/>
    <w:qFormat/>
    <w:uiPriority w:val="0"/>
    <w:pPr>
      <w:jc w:val="left"/>
    </w:pPr>
  </w:style>
  <w:style w:type="paragraph" w:styleId="6">
    <w:name w:val="Body Text"/>
    <w:basedOn w:val="1"/>
    <w:qFormat/>
    <w:uiPriority w:val="0"/>
    <w:pPr>
      <w:jc w:val="center"/>
    </w:pPr>
    <w:rPr>
      <w:rFonts w:eastAsia="黑体"/>
      <w:sz w:val="44"/>
      <w:szCs w:val="24"/>
    </w:rPr>
  </w:style>
  <w:style w:type="paragraph" w:styleId="7">
    <w:name w:val="Date"/>
    <w:basedOn w:val="1"/>
    <w:next w:val="1"/>
    <w:qFormat/>
    <w:uiPriority w:val="0"/>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qFormat/>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tabs>
        <w:tab w:val="center" w:pos="4153"/>
        <w:tab w:val="right" w:pos="8306"/>
      </w:tabs>
      <w:snapToGrid w:val="0"/>
      <w:jc w:val="center"/>
    </w:pPr>
    <w:rPr>
      <w:sz w:val="18"/>
      <w:szCs w:val="18"/>
    </w:rPr>
  </w:style>
  <w:style w:type="paragraph" w:styleId="12">
    <w:name w:val="Normal (Web)"/>
    <w:basedOn w:val="1"/>
    <w:link w:val="34"/>
    <w:qFormat/>
    <w:uiPriority w:val="0"/>
    <w:rPr>
      <w:rFonts w:ascii="Calibri" w:hAnsi="Calibri" w:eastAsia="宋体" w:cs="Times New Roman"/>
      <w:sz w:val="24"/>
      <w:szCs w:val="24"/>
    </w:rPr>
  </w:style>
  <w:style w:type="character" w:styleId="14">
    <w:name w:val="page number"/>
    <w:qFormat/>
    <w:uiPriority w:val="0"/>
  </w:style>
  <w:style w:type="character" w:styleId="15">
    <w:name w:val="Emphasis"/>
    <w:qFormat/>
    <w:uiPriority w:val="0"/>
    <w:rPr>
      <w:i/>
    </w:rPr>
  </w:style>
  <w:style w:type="character" w:styleId="16">
    <w:name w:val="Hyperlink"/>
    <w:qFormat/>
    <w:uiPriority w:val="0"/>
    <w:rPr>
      <w:color w:val="0000FF"/>
      <w:u w:val="single"/>
    </w:rPr>
  </w:style>
  <w:style w:type="table" w:styleId="18">
    <w:name w:val="Table Grid"/>
    <w:basedOn w:val="17"/>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列表段落2"/>
    <w:basedOn w:val="1"/>
    <w:link w:val="35"/>
    <w:qFormat/>
    <w:uiPriority w:val="34"/>
    <w:pPr>
      <w:ind w:firstLine="420" w:firstLineChars="200"/>
    </w:pPr>
    <w:rPr>
      <w:rFonts w:ascii="Calibri" w:hAnsi="Calibri"/>
      <w:szCs w:val="22"/>
    </w:rPr>
  </w:style>
  <w:style w:type="paragraph" w:customStyle="1" w:styleId="20">
    <w:name w:val="_Style 4"/>
    <w:qFormat/>
    <w:uiPriority w:val="1"/>
    <w:pPr>
      <w:widowControl w:val="0"/>
      <w:ind w:firstLine="200" w:firstLineChars="200"/>
      <w:jc w:val="both"/>
    </w:pPr>
    <w:rPr>
      <w:rFonts w:ascii="Calibri" w:hAnsi="Calibri" w:eastAsia="宋体" w:cs="Times New Roman"/>
      <w:kern w:val="2"/>
      <w:sz w:val="24"/>
      <w:szCs w:val="24"/>
      <w:lang w:val="en-US" w:eastAsia="zh-CN" w:bidi="ar-SA"/>
    </w:rPr>
  </w:style>
  <w:style w:type="paragraph" w:customStyle="1" w:styleId="21">
    <w:name w:val="样式 标题 1 + (中文) 黑体 小二 非加粗 居中 段前: 18 磅 段后: 12 磅 行距: 1.5 倍行距1"/>
    <w:basedOn w:val="2"/>
    <w:next w:val="1"/>
    <w:qFormat/>
    <w:uiPriority w:val="0"/>
    <w:pPr>
      <w:adjustRightInd w:val="0"/>
      <w:snapToGrid w:val="0"/>
      <w:spacing w:before="120" w:beforeLines="50" w:after="240" w:afterLines="100" w:line="300" w:lineRule="auto"/>
      <w:jc w:val="center"/>
    </w:pPr>
    <w:rPr>
      <w:rFonts w:eastAsia="黑体" w:cs="宋体"/>
      <w:b w:val="0"/>
      <w:bCs w:val="0"/>
      <w:spacing w:val="-8"/>
      <w:sz w:val="36"/>
      <w:szCs w:val="20"/>
    </w:rPr>
  </w:style>
  <w:style w:type="paragraph" w:customStyle="1" w:styleId="22">
    <w:name w:val="p0"/>
    <w:basedOn w:val="1"/>
    <w:qFormat/>
    <w:uiPriority w:val="0"/>
    <w:pPr>
      <w:widowControl/>
    </w:pPr>
    <w:rPr>
      <w:kern w:val="0"/>
    </w:rPr>
  </w:style>
  <w:style w:type="paragraph" w:customStyle="1" w:styleId="23">
    <w:name w:val="_Style 22"/>
    <w:semiHidden/>
    <w:qFormat/>
    <w:uiPriority w:val="99"/>
    <w:rPr>
      <w:rFonts w:ascii="Calibri" w:hAnsi="Calibri" w:eastAsia="宋体" w:cs="Times New Roman"/>
      <w:kern w:val="2"/>
      <w:sz w:val="21"/>
      <w:szCs w:val="21"/>
      <w:lang w:val="en-US" w:eastAsia="zh-CN" w:bidi="ar-SA"/>
    </w:rPr>
  </w:style>
  <w:style w:type="paragraph" w:customStyle="1" w:styleId="24">
    <w:name w:val="_Style 1"/>
    <w:qFormat/>
    <w:uiPriority w:val="1"/>
    <w:pPr>
      <w:widowControl w:val="0"/>
      <w:ind w:firstLine="200" w:firstLineChars="200"/>
      <w:jc w:val="both"/>
    </w:pPr>
    <w:rPr>
      <w:rFonts w:ascii="Calibri" w:hAnsi="Calibri" w:eastAsia="宋体" w:cs="Times New Roman"/>
      <w:kern w:val="2"/>
      <w:sz w:val="24"/>
      <w:szCs w:val="24"/>
      <w:lang w:val="en-US" w:eastAsia="zh-CN" w:bidi="ar-SA"/>
    </w:rPr>
  </w:style>
  <w:style w:type="paragraph" w:customStyle="1" w:styleId="25">
    <w:name w:val="p16"/>
    <w:basedOn w:val="1"/>
    <w:qFormat/>
    <w:uiPriority w:val="0"/>
    <w:pPr>
      <w:widowControl/>
      <w:jc w:val="left"/>
    </w:pPr>
    <w:rPr>
      <w:rFonts w:ascii="inherit" w:hAnsi="inherit" w:cs="宋体"/>
      <w:kern w:val="0"/>
      <w:sz w:val="24"/>
      <w:szCs w:val="24"/>
    </w:rPr>
  </w:style>
  <w:style w:type="paragraph" w:styleId="26">
    <w:name w:val="No Spacing"/>
    <w:qFormat/>
    <w:uiPriority w:val="1"/>
    <w:pPr>
      <w:widowControl w:val="0"/>
      <w:ind w:firstLine="200" w:firstLineChars="200"/>
      <w:jc w:val="both"/>
    </w:pPr>
    <w:rPr>
      <w:rFonts w:ascii="Calibri" w:hAnsi="Calibri" w:eastAsia="宋体" w:cs="Times New Roman"/>
      <w:kern w:val="2"/>
      <w:sz w:val="24"/>
      <w:szCs w:val="24"/>
      <w:lang w:val="en-US" w:eastAsia="zh-CN" w:bidi="ar-SA"/>
    </w:rPr>
  </w:style>
  <w:style w:type="paragraph" w:customStyle="1" w:styleId="27">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样式 标题 2标题 2 Char节标题 1.11.1标题2b2标题2000000000000000000000000..."/>
    <w:basedOn w:val="3"/>
    <w:qFormat/>
    <w:uiPriority w:val="0"/>
    <w:pPr>
      <w:adjustRightInd w:val="0"/>
      <w:snapToGrid w:val="0"/>
      <w:spacing w:before="0" w:beforeLines="50" w:after="0" w:afterLines="50" w:line="300" w:lineRule="auto"/>
      <w:ind w:firstLine="640" w:firstLineChars="200"/>
    </w:pPr>
    <w:rPr>
      <w:rFonts w:ascii="Times New Roman" w:hAnsi="Times New Roman" w:cs="宋体"/>
      <w:b w:val="0"/>
      <w:bCs w:val="0"/>
    </w:rPr>
  </w:style>
  <w:style w:type="paragraph" w:styleId="29">
    <w:name w:val="List Paragraph"/>
    <w:basedOn w:val="1"/>
    <w:qFormat/>
    <w:uiPriority w:val="99"/>
    <w:pPr>
      <w:ind w:firstLine="420" w:firstLineChars="200"/>
    </w:pPr>
    <w:rPr>
      <w:szCs w:val="24"/>
    </w:rPr>
  </w:style>
  <w:style w:type="paragraph" w:customStyle="1" w:styleId="30">
    <w:name w:val="p17"/>
    <w:basedOn w:val="1"/>
    <w:qFormat/>
    <w:uiPriority w:val="0"/>
    <w:pPr>
      <w:widowControl/>
      <w:spacing w:before="100" w:after="100"/>
      <w:jc w:val="left"/>
    </w:pPr>
    <w:rPr>
      <w:rFonts w:ascii="宋体" w:hAnsi="宋体" w:cs="宋体"/>
      <w:kern w:val="0"/>
      <w:sz w:val="24"/>
      <w:szCs w:val="24"/>
    </w:rPr>
  </w:style>
  <w:style w:type="character" w:customStyle="1" w:styleId="31">
    <w:name w:val="标题 1 Char"/>
    <w:link w:val="2"/>
    <w:qFormat/>
    <w:uiPriority w:val="0"/>
    <w:rPr>
      <w:b/>
      <w:bCs/>
      <w:kern w:val="44"/>
      <w:sz w:val="44"/>
      <w:szCs w:val="44"/>
    </w:rPr>
  </w:style>
  <w:style w:type="character" w:customStyle="1" w:styleId="32">
    <w:name w:val="页脚 Char"/>
    <w:link w:val="10"/>
    <w:qFormat/>
    <w:uiPriority w:val="99"/>
    <w:rPr>
      <w:kern w:val="2"/>
      <w:sz w:val="18"/>
      <w:szCs w:val="18"/>
    </w:rPr>
  </w:style>
  <w:style w:type="character" w:customStyle="1" w:styleId="33">
    <w:name w:val="页眉 Char"/>
    <w:link w:val="11"/>
    <w:qFormat/>
    <w:uiPriority w:val="99"/>
    <w:rPr>
      <w:kern w:val="2"/>
      <w:sz w:val="18"/>
      <w:szCs w:val="18"/>
    </w:rPr>
  </w:style>
  <w:style w:type="character" w:customStyle="1" w:styleId="34">
    <w:name w:val="普通(网站) Char"/>
    <w:link w:val="12"/>
    <w:qFormat/>
    <w:uiPriority w:val="99"/>
    <w:rPr>
      <w:rFonts w:ascii="Calibri" w:hAnsi="Calibri"/>
      <w:kern w:val="2"/>
      <w:sz w:val="24"/>
      <w:szCs w:val="24"/>
    </w:rPr>
  </w:style>
  <w:style w:type="character" w:customStyle="1" w:styleId="35">
    <w:name w:val="列表段落 字符"/>
    <w:link w:val="19"/>
    <w:qFormat/>
    <w:uiPriority w:val="34"/>
    <w:rPr>
      <w:rFonts w:ascii="Calibri" w:hAnsi="Calibri"/>
      <w:kern w:val="2"/>
      <w:sz w:val="21"/>
      <w:szCs w:val="22"/>
    </w:rPr>
  </w:style>
  <w:style w:type="character" w:customStyle="1" w:styleId="36">
    <w:name w:val="15"/>
    <w:qFormat/>
    <w:uiPriority w:val="0"/>
    <w:rPr>
      <w:rFonts w:hint="default" w:ascii="Times New Roman" w:hAnsi="Times New Roman" w:cs="Times New Roman"/>
      <w:color w:val="1A5E8D"/>
      <w:sz w:val="20"/>
      <w:szCs w:val="20"/>
      <w:u w:val="none"/>
    </w:rPr>
  </w:style>
  <w:style w:type="character" w:customStyle="1" w:styleId="37">
    <w:name w:val="16"/>
    <w:uiPriority w:val="0"/>
    <w:rPr>
      <w:rFonts w:hint="default" w:ascii="Times New Roman" w:hAnsi="Times New Roman" w:cs="Times New Roman"/>
      <w:b/>
      <w:bCs/>
      <w:sz w:val="20"/>
      <w:szCs w:val="20"/>
    </w:rPr>
  </w:style>
  <w:style w:type="character" w:customStyle="1" w:styleId="38">
    <w:name w:val="NormalCharacter"/>
    <w:uiPriority w:val="0"/>
  </w:style>
  <w:style w:type="character" w:customStyle="1" w:styleId="39">
    <w:name w:val="fontstyle01"/>
    <w:qFormat/>
    <w:uiPriority w:val="0"/>
    <w:rPr>
      <w:rFonts w:hint="eastAsia" w:ascii="宋体" w:hAnsi="宋体" w:eastAsia="宋体"/>
      <w:color w:val="0000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gdsta</Company>
  <Pages>6</Pages>
  <Words>2853</Words>
  <Characters>2877</Characters>
  <Lines>63</Lines>
  <Paragraphs>17</Paragraphs>
  <TotalTime>37</TotalTime>
  <ScaleCrop>false</ScaleCrop>
  <LinksUpToDate>false</LinksUpToDate>
  <CharactersWithSpaces>2898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2023-07-05T02:02:00Z</dcterms:created>
  <dc:creator>chenly</dc:creator>
  <cp:lastModifiedBy>hxd</cp:lastModifiedBy>
  <cp:lastPrinted>2023-07-17T07:25:00Z</cp:lastPrinted>
  <dcterms:modified xsi:type="dcterms:W3CDTF">2023-07-18T10:31:44Z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873AD8386F784D62AC250CD54F531937</vt:lpwstr>
  </property>
</Properties>
</file>