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76"/>
        </w:tabs>
        <w:snapToGrid w:val="0"/>
        <w:spacing w:line="580" w:lineRule="exact"/>
        <w:jc w:val="left"/>
        <w:rPr>
          <w:rFonts w:ascii="仿宋_GB2312" w:hAnsi="仿宋" w:eastAsia="仿宋_GB2312" w:cs="仿宋"/>
          <w:b w:val="0"/>
          <w:color w:val="auto"/>
          <w:sz w:val="32"/>
          <w:szCs w:val="32"/>
        </w:rPr>
      </w:pPr>
      <w:bookmarkStart w:id="0" w:name="_Toc49329250"/>
      <w:bookmarkStart w:id="1" w:name="_Toc37670350"/>
      <w:r>
        <w:rPr>
          <w:rFonts w:hint="eastAsia" w:ascii="仿宋_GB2312" w:hAnsi="仿宋" w:eastAsia="仿宋_GB2312" w:cs="仿宋"/>
          <w:b w:val="0"/>
          <w:color w:val="auto"/>
          <w:sz w:val="32"/>
          <w:szCs w:val="32"/>
        </w:rPr>
        <w:t>附件：</w:t>
      </w:r>
    </w:p>
    <w:p>
      <w:pPr>
        <w:pStyle w:val="2"/>
        <w:tabs>
          <w:tab w:val="left" w:pos="576"/>
        </w:tabs>
        <w:snapToGrid w:val="0"/>
        <w:spacing w:line="580" w:lineRule="exact"/>
        <w:rPr>
          <w:rFonts w:ascii="仿宋_GB2312" w:hAnsi="仿宋" w:eastAsia="仿宋_GB2312" w:cs="仿宋"/>
          <w:b w:val="0"/>
          <w:color w:val="auto"/>
          <w:sz w:val="32"/>
          <w:szCs w:val="32"/>
        </w:rPr>
      </w:pPr>
      <w:r>
        <w:rPr>
          <w:rFonts w:hint="eastAsia" w:ascii="方正小标宋简体" w:hAnsi="方正小标宋简体" w:eastAsia="方正小标宋简体" w:cs="方正小标宋简体"/>
          <w:b w:val="0"/>
          <w:bCs/>
          <w:snapToGrid w:val="0"/>
          <w:color w:val="auto"/>
          <w:sz w:val="44"/>
          <w:szCs w:val="44"/>
        </w:rPr>
        <w:t>比选文件</w:t>
      </w:r>
    </w:p>
    <w:p>
      <w:pPr>
        <w:adjustRightInd w:val="0"/>
        <w:snapToGrid w:val="0"/>
        <w:spacing w:line="580" w:lineRule="exact"/>
        <w:ind w:firstLine="640" w:firstLineChars="200"/>
        <w:rPr>
          <w:rFonts w:ascii="仿宋" w:hAnsi="仿宋" w:eastAsia="仿宋" w:cs="仿宋"/>
          <w:bCs/>
          <w:snapToGrid w:val="0"/>
          <w:kern w:val="0"/>
          <w:sz w:val="32"/>
          <w:szCs w:val="32"/>
        </w:rPr>
      </w:pP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一、项目概况</w:t>
      </w:r>
    </w:p>
    <w:p>
      <w:pPr>
        <w:adjustRightInd w:val="0"/>
        <w:snapToGrid w:val="0"/>
        <w:spacing w:line="580" w:lineRule="exact"/>
        <w:ind w:firstLine="640" w:firstLineChars="200"/>
        <w:jc w:val="left"/>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（一）采购内容：</w:t>
      </w:r>
      <w:r>
        <w:rPr>
          <w:rFonts w:hint="eastAsia" w:ascii="仿宋_GB2312" w:eastAsia="仿宋_GB2312"/>
          <w:sz w:val="32"/>
          <w:szCs w:val="32"/>
        </w:rPr>
        <w:t>“文搏杯”第十届广东省青少年科技实践能力挑战赛</w:t>
      </w:r>
      <w:r>
        <w:rPr>
          <w:rFonts w:hint="eastAsia" w:ascii="仿宋_GB2312" w:eastAsia="仿宋_GB2312"/>
          <w:sz w:val="32"/>
          <w:szCs w:val="32"/>
          <w:lang w:val="en-US" w:eastAsia="zh-CN"/>
        </w:rPr>
        <w:t>后勤</w:t>
      </w:r>
      <w:r>
        <w:rPr>
          <w:rFonts w:hint="eastAsia" w:ascii="仿宋_GB2312" w:eastAsia="仿宋_GB2312"/>
          <w:sz w:val="32"/>
          <w:szCs w:val="32"/>
        </w:rPr>
        <w:t>服务</w:t>
      </w:r>
      <w:r>
        <w:rPr>
          <w:rFonts w:hint="eastAsia" w:ascii="仿宋_GB2312" w:hAnsi="仿宋" w:eastAsia="仿宋_GB2312" w:cs="仿宋"/>
          <w:bCs/>
          <w:snapToGrid w:val="0"/>
          <w:kern w:val="0"/>
          <w:sz w:val="32"/>
          <w:szCs w:val="32"/>
        </w:rPr>
        <w:t>；</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（二）采购单位：</w:t>
      </w:r>
      <w:bookmarkStart w:id="2" w:name="_Hlk97106968"/>
      <w:r>
        <w:rPr>
          <w:rFonts w:hint="eastAsia" w:ascii="仿宋_GB2312" w:hAnsi="仿宋" w:eastAsia="仿宋_GB2312" w:cs="仿宋"/>
          <w:bCs/>
          <w:snapToGrid w:val="0"/>
          <w:kern w:val="0"/>
          <w:sz w:val="32"/>
          <w:szCs w:val="32"/>
        </w:rPr>
        <w:t>广东省</w:t>
      </w:r>
      <w:bookmarkEnd w:id="2"/>
      <w:r>
        <w:rPr>
          <w:rFonts w:hint="eastAsia" w:ascii="仿宋_GB2312" w:hAnsi="仿宋" w:eastAsia="仿宋_GB2312" w:cs="仿宋"/>
          <w:bCs/>
          <w:snapToGrid w:val="0"/>
          <w:kern w:val="0"/>
          <w:sz w:val="32"/>
          <w:szCs w:val="32"/>
        </w:rPr>
        <w:t>科协事业发展中心（广东科学馆）；</w:t>
      </w:r>
    </w:p>
    <w:p>
      <w:pPr>
        <w:adjustRightInd w:val="0"/>
        <w:snapToGrid w:val="0"/>
        <w:spacing w:line="580"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（三）采购需求：</w:t>
      </w:r>
      <w:r>
        <w:rPr>
          <w:rFonts w:hint="eastAsia" w:ascii="仿宋_GB2312" w:eastAsia="仿宋_GB2312"/>
          <w:sz w:val="32"/>
          <w:szCs w:val="32"/>
          <w:lang w:val="en-US" w:eastAsia="zh-CN"/>
        </w:rPr>
        <w:t>为参加该活动的人员提供食宿交通保险等后勤服务，具体要求咨询联系人</w:t>
      </w:r>
      <w:r>
        <w:rPr>
          <w:rFonts w:hint="eastAsia" w:ascii="仿宋_GB2312" w:eastAsia="仿宋_GB2312"/>
          <w:sz w:val="32"/>
          <w:szCs w:val="32"/>
        </w:rPr>
        <w:t>；</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（四）项目预算：人民币约</w:t>
      </w:r>
      <w:r>
        <w:rPr>
          <w:rFonts w:hint="eastAsia" w:ascii="仿宋_GB2312" w:hAnsi="仿宋" w:eastAsia="仿宋_GB2312" w:cs="仿宋"/>
          <w:sz w:val="32"/>
          <w:szCs w:val="32"/>
          <w:lang w:val="en-US" w:eastAsia="zh-CN"/>
        </w:rPr>
        <w:t>11</w:t>
      </w:r>
      <w:r>
        <w:rPr>
          <w:rFonts w:hint="eastAsia" w:ascii="仿宋_GB2312" w:hAnsi="仿宋" w:eastAsia="仿宋_GB2312" w:cs="仿宋"/>
          <w:bCs/>
          <w:snapToGrid w:val="0"/>
          <w:kern w:val="0"/>
          <w:sz w:val="32"/>
          <w:szCs w:val="32"/>
        </w:rPr>
        <w:t>万元，据实结算；</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（五）服务时间：</w:t>
      </w:r>
      <w:r>
        <w:rPr>
          <w:rFonts w:hint="eastAsia" w:ascii="仿宋_GB2312" w:hAnsi="仿宋" w:eastAsia="仿宋_GB2312" w:cs="仿宋"/>
          <w:sz w:val="32"/>
          <w:szCs w:val="32"/>
        </w:rPr>
        <w:t>2022</w:t>
      </w:r>
      <w:r>
        <w:rPr>
          <w:rFonts w:hint="eastAsia" w:ascii="仿宋_GB2312" w:hAnsi="仿宋" w:eastAsia="仿宋_GB2312" w:cs="仿宋"/>
          <w:bCs/>
          <w:snapToGrid w:val="0"/>
          <w:kern w:val="0"/>
          <w:sz w:val="32"/>
          <w:szCs w:val="32"/>
        </w:rPr>
        <w:t>年</w:t>
      </w: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1</w:t>
      </w:r>
      <w:r>
        <w:rPr>
          <w:rFonts w:hint="eastAsia" w:ascii="仿宋_GB2312" w:hAnsi="仿宋" w:eastAsia="仿宋_GB2312" w:cs="仿宋"/>
          <w:bCs/>
          <w:snapToGrid w:val="0"/>
          <w:kern w:val="0"/>
          <w:sz w:val="32"/>
          <w:szCs w:val="32"/>
        </w:rPr>
        <w:t>月</w:t>
      </w:r>
      <w:r>
        <w:rPr>
          <w:rFonts w:hint="eastAsia" w:ascii="仿宋_GB2312" w:hAnsi="仿宋" w:eastAsia="仿宋_GB2312" w:cs="仿宋"/>
          <w:bCs/>
          <w:snapToGrid w:val="0"/>
          <w:kern w:val="0"/>
          <w:sz w:val="32"/>
          <w:szCs w:val="32"/>
          <w:lang w:val="en-US" w:eastAsia="zh-CN"/>
        </w:rPr>
        <w:t>10日</w:t>
      </w:r>
      <w:r>
        <w:rPr>
          <w:rFonts w:hint="eastAsia" w:ascii="仿宋_GB2312" w:hAnsi="仿宋" w:eastAsia="仿宋_GB2312" w:cs="仿宋"/>
          <w:bCs/>
          <w:snapToGrid w:val="0"/>
          <w:kern w:val="0"/>
          <w:sz w:val="32"/>
          <w:szCs w:val="32"/>
        </w:rPr>
        <w:t>至</w:t>
      </w:r>
      <w:r>
        <w:rPr>
          <w:rFonts w:hint="eastAsia" w:ascii="仿宋_GB2312" w:hAnsi="仿宋" w:eastAsia="仿宋_GB2312" w:cs="仿宋"/>
          <w:sz w:val="32"/>
          <w:szCs w:val="32"/>
          <w:lang w:val="en-US" w:eastAsia="zh-CN"/>
        </w:rPr>
        <w:t>12日</w:t>
      </w:r>
      <w:r>
        <w:rPr>
          <w:rFonts w:hint="eastAsia" w:ascii="仿宋_GB2312" w:hAnsi="仿宋" w:eastAsia="仿宋_GB2312" w:cs="仿宋"/>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二、项目背景</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为保障</w:t>
      </w:r>
      <w:r>
        <w:rPr>
          <w:rFonts w:hint="eastAsia" w:ascii="仿宋_GB2312" w:eastAsia="仿宋_GB2312"/>
          <w:sz w:val="32"/>
          <w:szCs w:val="32"/>
        </w:rPr>
        <w:t>文搏杯”第十届广东省青少年科技实践能力挑战赛</w:t>
      </w:r>
      <w:r>
        <w:rPr>
          <w:rFonts w:hint="eastAsia" w:ascii="仿宋_GB2312" w:eastAsia="仿宋_GB2312"/>
          <w:sz w:val="32"/>
          <w:szCs w:val="32"/>
          <w:lang w:val="en-US" w:eastAsia="zh-CN"/>
        </w:rPr>
        <w:t>活动的顺利开展</w:t>
      </w:r>
      <w:r>
        <w:rPr>
          <w:rFonts w:hint="eastAsia" w:ascii="仿宋_GB2312" w:hAnsi="仿宋" w:eastAsia="仿宋_GB2312" w:cs="仿宋"/>
          <w:bCs/>
          <w:snapToGrid w:val="0"/>
          <w:kern w:val="0"/>
          <w:sz w:val="32"/>
          <w:szCs w:val="32"/>
        </w:rPr>
        <w:t>，通过比选的方式选定1家</w:t>
      </w:r>
      <w:r>
        <w:rPr>
          <w:rFonts w:hint="eastAsia" w:ascii="仿宋_GB2312" w:hAnsi="仿宋" w:eastAsia="仿宋_GB2312" w:cs="仿宋"/>
          <w:bCs/>
          <w:snapToGrid w:val="0"/>
          <w:kern w:val="0"/>
          <w:sz w:val="32"/>
          <w:szCs w:val="32"/>
          <w:lang w:val="en-US" w:eastAsia="zh-CN"/>
        </w:rPr>
        <w:t>旅行社</w:t>
      </w:r>
      <w:r>
        <w:rPr>
          <w:rFonts w:hint="eastAsia" w:ascii="仿宋_GB2312" w:hAnsi="仿宋" w:eastAsia="仿宋_GB2312" w:cs="仿宋"/>
          <w:bCs/>
          <w:snapToGrid w:val="0"/>
          <w:kern w:val="0"/>
          <w:sz w:val="32"/>
          <w:szCs w:val="32"/>
        </w:rPr>
        <w:t>公司，由选定的公司提供专业的</w:t>
      </w:r>
      <w:r>
        <w:rPr>
          <w:rFonts w:hint="eastAsia" w:ascii="仿宋_GB2312" w:hAnsi="仿宋" w:eastAsia="仿宋_GB2312" w:cs="仿宋"/>
          <w:sz w:val="32"/>
          <w:szCs w:val="32"/>
          <w:lang w:val="en-US" w:eastAsia="zh-CN"/>
        </w:rPr>
        <w:t>后勤管理</w:t>
      </w:r>
      <w:r>
        <w:rPr>
          <w:rFonts w:hint="eastAsia" w:ascii="仿宋_GB2312" w:hAnsi="仿宋" w:eastAsia="仿宋_GB2312" w:cs="仿宋"/>
          <w:sz w:val="32"/>
          <w:szCs w:val="32"/>
        </w:rPr>
        <w:t>服务</w:t>
      </w:r>
      <w:r>
        <w:rPr>
          <w:rFonts w:hint="eastAsia" w:ascii="仿宋_GB2312" w:hAnsi="仿宋" w:eastAsia="仿宋_GB2312" w:cs="仿宋"/>
          <w:bCs/>
          <w:snapToGrid w:val="0"/>
          <w:kern w:val="0"/>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三、服务内容</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仿宋_GB2312" w:eastAsia="仿宋_GB2312"/>
          <w:sz w:val="32"/>
          <w:szCs w:val="32"/>
          <w:lang w:val="en-US" w:eastAsia="zh-CN"/>
        </w:rPr>
        <w:t>为参加该活动的人员提供食宿交通保险等后勤服务</w:t>
      </w:r>
      <w:r>
        <w:rPr>
          <w:rFonts w:hint="eastAsia" w:ascii="仿宋_GB2312" w:hAnsi="仿宋" w:eastAsia="仿宋_GB2312" w:cs="仿宋"/>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四、项目成果</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仿宋_GB2312" w:hAnsi="仿宋" w:eastAsia="仿宋_GB2312" w:cs="仿宋"/>
          <w:sz w:val="32"/>
          <w:szCs w:val="32"/>
        </w:rPr>
        <w:t>确保服务期内，按服务合同要求，安全、高质量、高效率地完成</w:t>
      </w:r>
      <w:r>
        <w:rPr>
          <w:rFonts w:hint="eastAsia" w:ascii="仿宋_GB2312" w:hAnsi="仿宋" w:eastAsia="仿宋_GB2312" w:cs="仿宋"/>
          <w:sz w:val="32"/>
          <w:szCs w:val="32"/>
          <w:lang w:val="en-US" w:eastAsia="zh-CN"/>
        </w:rPr>
        <w:t>后勤接待工作</w:t>
      </w:r>
      <w:r>
        <w:rPr>
          <w:rFonts w:hint="eastAsia" w:ascii="仿宋_GB2312" w:hAnsi="仿宋" w:eastAsia="仿宋_GB2312" w:cs="仿宋"/>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bookmarkStart w:id="3" w:name="_Toc78604591"/>
      <w:bookmarkStart w:id="4" w:name="_Toc113157419"/>
      <w:r>
        <w:rPr>
          <w:rFonts w:hint="eastAsia" w:ascii="黑体" w:hAnsi="黑体" w:eastAsia="黑体" w:cs="黑体"/>
          <w:bCs/>
          <w:snapToGrid w:val="0"/>
          <w:kern w:val="0"/>
          <w:sz w:val="32"/>
          <w:szCs w:val="32"/>
          <w:lang w:val="en-US" w:eastAsia="zh-CN"/>
        </w:rPr>
        <w:t>五</w:t>
      </w:r>
      <w:r>
        <w:rPr>
          <w:rFonts w:hint="eastAsia" w:ascii="黑体" w:hAnsi="黑体" w:eastAsia="黑体" w:cs="黑体"/>
          <w:bCs/>
          <w:snapToGrid w:val="0"/>
          <w:kern w:val="0"/>
          <w:sz w:val="32"/>
          <w:szCs w:val="32"/>
        </w:rPr>
        <w:t>、付款方式</w:t>
      </w:r>
    </w:p>
    <w:bookmarkEnd w:id="0"/>
    <w:bookmarkEnd w:id="1"/>
    <w:bookmarkEnd w:id="3"/>
    <w:bookmarkEnd w:id="4"/>
    <w:p>
      <w:pPr>
        <w:adjustRightInd w:val="0"/>
        <w:snapToGrid w:val="0"/>
        <w:spacing w:line="580" w:lineRule="exact"/>
        <w:ind w:firstLine="640" w:firstLineChars="200"/>
        <w:rPr>
          <w:rFonts w:ascii="仿宋_GB2312" w:hAnsi="黑体" w:eastAsia="仿宋_GB2312" w:cs="黑体"/>
          <w:bCs/>
          <w:snapToGrid w:val="0"/>
          <w:kern w:val="0"/>
          <w:sz w:val="32"/>
          <w:szCs w:val="32"/>
        </w:rPr>
      </w:pPr>
      <w:r>
        <w:rPr>
          <w:rFonts w:hint="eastAsia" w:ascii="仿宋_GB2312" w:hAnsi="黑体" w:eastAsia="仿宋_GB2312" w:cs="黑体"/>
          <w:bCs/>
          <w:snapToGrid w:val="0"/>
          <w:kern w:val="0"/>
          <w:sz w:val="32"/>
          <w:szCs w:val="32"/>
          <w:lang w:val="en-US" w:eastAsia="zh-CN"/>
        </w:rPr>
        <w:t>签订合同后，先支付项目预算的30%的费用。尾款在服务时间结束后，根据实际发生的费用结算</w:t>
      </w:r>
      <w:r>
        <w:rPr>
          <w:rFonts w:hint="eastAsia" w:ascii="仿宋_GB2312" w:hAnsi="黑体" w:eastAsia="仿宋_GB2312" w:cs="黑体"/>
          <w:bCs/>
          <w:snapToGrid w:val="0"/>
          <w:kern w:val="0"/>
          <w:sz w:val="32"/>
          <w:szCs w:val="32"/>
        </w:rPr>
        <w:t>。</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lang w:val="en-US" w:eastAsia="zh-CN"/>
        </w:rPr>
        <w:t>六</w:t>
      </w:r>
      <w:r>
        <w:rPr>
          <w:rFonts w:hint="eastAsia" w:ascii="黑体" w:hAnsi="黑体" w:eastAsia="黑体" w:cs="黑体"/>
          <w:bCs/>
          <w:snapToGrid w:val="0"/>
          <w:kern w:val="0"/>
          <w:sz w:val="32"/>
          <w:szCs w:val="32"/>
        </w:rPr>
        <w:t>、供应商资格要求</w:t>
      </w:r>
    </w:p>
    <w:p>
      <w:pPr>
        <w:autoSpaceDE w:val="0"/>
        <w:autoSpaceDN w:val="0"/>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（一）</w:t>
      </w:r>
      <w:r>
        <w:rPr>
          <w:rFonts w:hint="eastAsia" w:ascii="仿宋_GB2312" w:hAnsi="仿宋" w:eastAsia="仿宋_GB2312" w:cs="仿宋"/>
          <w:snapToGrid w:val="0"/>
          <w:kern w:val="0"/>
          <w:sz w:val="32"/>
          <w:szCs w:val="32"/>
        </w:rPr>
        <w:t>供应商必须符合《中华人民共和国政府采购法》第二十二条规定的条件，</w:t>
      </w:r>
      <w:r>
        <w:rPr>
          <w:rFonts w:hint="eastAsia" w:ascii="仿宋_GB2312" w:hAnsi="仿宋" w:eastAsia="仿宋_GB2312" w:cs="仿宋"/>
          <w:sz w:val="32"/>
          <w:szCs w:val="32"/>
        </w:rPr>
        <w:t>具有独立的法人资格，</w:t>
      </w:r>
      <w:r>
        <w:rPr>
          <w:rFonts w:hint="eastAsia" w:ascii="仿宋_GB2312" w:hAnsi="仿宋" w:eastAsia="仿宋_GB2312" w:cs="仿宋"/>
          <w:snapToGrid w:val="0"/>
          <w:kern w:val="0"/>
          <w:sz w:val="32"/>
          <w:szCs w:val="32"/>
        </w:rPr>
        <w:t>并提供</w:t>
      </w:r>
      <w:r>
        <w:rPr>
          <w:rFonts w:hint="eastAsia" w:ascii="仿宋_GB2312" w:hAnsi="仿宋" w:eastAsia="仿宋_GB2312" w:cs="仿宋"/>
          <w:sz w:val="32"/>
          <w:szCs w:val="32"/>
        </w:rPr>
        <w:t>营业执照复印件、法人身份证复印件、没有重大违法记录的声明</w:t>
      </w:r>
      <w:r>
        <w:rPr>
          <w:rFonts w:hint="eastAsia" w:ascii="仿宋_GB2312" w:hAnsi="仿宋" w:eastAsia="仿宋_GB2312" w:cs="仿宋"/>
          <w:snapToGrid w:val="0"/>
          <w:kern w:val="0"/>
          <w:sz w:val="32"/>
          <w:szCs w:val="32"/>
        </w:rPr>
        <w:t>；</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hAnsi="仿宋" w:eastAsia="仿宋_GB2312" w:cs="仿宋"/>
          <w:sz w:val="32"/>
          <w:szCs w:val="32"/>
        </w:rPr>
        <w:t>（二）</w:t>
      </w:r>
      <w:r>
        <w:rPr>
          <w:rFonts w:hint="eastAsia" w:ascii="仿宋_GB2312" w:eastAsia="仿宋_GB2312"/>
          <w:sz w:val="32"/>
          <w:szCs w:val="32"/>
        </w:rPr>
        <w:t>供应商应为广东省内具有独立法人资格的公司，具备</w:t>
      </w:r>
      <w:r>
        <w:rPr>
          <w:rFonts w:hint="eastAsia" w:ascii="仿宋_GB2312" w:eastAsia="仿宋_GB2312"/>
          <w:sz w:val="32"/>
          <w:szCs w:val="32"/>
          <w:lang w:val="en-US" w:eastAsia="zh-CN"/>
        </w:rPr>
        <w:t>酒店预定、交通接驳等后勤管理服务的旅行社或会务会展服务企业资</w:t>
      </w:r>
      <w:r>
        <w:rPr>
          <w:rFonts w:hint="eastAsia" w:ascii="仿宋_GB2312" w:eastAsia="仿宋_GB2312"/>
          <w:sz w:val="32"/>
          <w:szCs w:val="32"/>
        </w:rPr>
        <w:t>质，有专业的</w:t>
      </w:r>
      <w:r>
        <w:rPr>
          <w:rFonts w:hint="eastAsia" w:ascii="仿宋_GB2312" w:eastAsia="仿宋_GB2312"/>
          <w:sz w:val="32"/>
          <w:szCs w:val="32"/>
          <w:lang w:val="en-US" w:eastAsia="zh-CN"/>
        </w:rPr>
        <w:t>接待管理</w:t>
      </w:r>
      <w:r>
        <w:rPr>
          <w:rFonts w:hint="eastAsia" w:ascii="仿宋_GB2312" w:eastAsia="仿宋_GB2312"/>
          <w:sz w:val="32"/>
          <w:szCs w:val="32"/>
        </w:rPr>
        <w:t>服务团队，为国家/省/市级举办的大型活动提供过</w:t>
      </w:r>
      <w:r>
        <w:rPr>
          <w:rFonts w:hint="eastAsia" w:ascii="仿宋_GB2312" w:eastAsia="仿宋_GB2312"/>
          <w:sz w:val="32"/>
          <w:szCs w:val="32"/>
          <w:lang w:val="en-US" w:eastAsia="zh-CN"/>
        </w:rPr>
        <w:t>酒店预定、交通接驳等后勤服务</w:t>
      </w:r>
      <w:r>
        <w:rPr>
          <w:rFonts w:hint="eastAsia" w:ascii="仿宋_GB2312" w:eastAsia="仿宋_GB2312"/>
          <w:sz w:val="32"/>
          <w:szCs w:val="32"/>
        </w:rPr>
        <w:t>的供应商可列入加分选项;</w:t>
      </w:r>
    </w:p>
    <w:p>
      <w:pPr>
        <w:autoSpaceDE w:val="0"/>
        <w:autoSpaceDN w:val="0"/>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（三）</w:t>
      </w:r>
      <w:r>
        <w:rPr>
          <w:rFonts w:hint="eastAsia" w:ascii="仿宋_GB2312" w:eastAsia="仿宋_GB2312"/>
          <w:sz w:val="32"/>
          <w:szCs w:val="32"/>
        </w:rPr>
        <w:t>单位负责人为同一人或者存在直接控股、管理关系的不同供应商，不得参加同一合同项下的政府采购活动（提供书面承诺）；</w:t>
      </w:r>
    </w:p>
    <w:p>
      <w:pPr>
        <w:autoSpaceDE w:val="0"/>
        <w:autoSpaceDN w:val="0"/>
        <w:adjustRightInd w:val="0"/>
        <w:snapToGrid w:val="0"/>
        <w:spacing w:line="580" w:lineRule="exact"/>
        <w:ind w:firstLine="560" w:firstLineChars="200"/>
        <w:rPr>
          <w:rFonts w:hint="eastAsia" w:ascii="仿宋_GB2312" w:eastAsia="仿宋_GB2312"/>
          <w:sz w:val="32"/>
          <w:szCs w:val="32"/>
          <w:lang w:val="en-US" w:eastAsia="zh-CN"/>
        </w:rPr>
      </w:pPr>
      <w:r>
        <w:rPr>
          <w:rFonts w:hint="eastAsia" w:ascii="仿宋_GB2312" w:hAnsi="仿宋" w:eastAsia="仿宋_GB2312" w:cs="仿宋"/>
          <w:bCs/>
          <w:snapToGrid w:val="0"/>
          <w:spacing w:val="-20"/>
          <w:kern w:val="0"/>
          <w:sz w:val="32"/>
          <w:szCs w:val="32"/>
        </w:rPr>
        <w:t>（四）</w:t>
      </w:r>
      <w:r>
        <w:rPr>
          <w:rFonts w:hint="eastAsia" w:ascii="仿宋_GB2312" w:eastAsia="仿宋_GB2312"/>
          <w:sz w:val="32"/>
          <w:szCs w:val="32"/>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autoSpaceDE w:val="0"/>
        <w:autoSpaceDN w:val="0"/>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（五）</w:t>
      </w:r>
      <w:r>
        <w:rPr>
          <w:rFonts w:hint="eastAsia" w:ascii="仿宋_GB2312" w:eastAsia="仿宋_GB2312"/>
          <w:sz w:val="32"/>
          <w:szCs w:val="32"/>
          <w:lang w:val="en-US" w:eastAsia="zh-CN"/>
        </w:rPr>
        <w:t>本项目不接受联合体投标。</w:t>
      </w:r>
    </w:p>
    <w:p>
      <w:pPr>
        <w:adjustRightInd w:val="0"/>
        <w:snapToGrid w:val="0"/>
        <w:spacing w:line="58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lang w:val="en-US" w:eastAsia="zh-CN"/>
        </w:rPr>
        <w:t>七</w:t>
      </w:r>
      <w:r>
        <w:rPr>
          <w:rFonts w:hint="eastAsia" w:ascii="黑体" w:hAnsi="黑体" w:eastAsia="黑体" w:cs="黑体"/>
          <w:bCs/>
          <w:snapToGrid w:val="0"/>
          <w:kern w:val="0"/>
          <w:sz w:val="32"/>
          <w:szCs w:val="32"/>
        </w:rPr>
        <w:t>、其他要求</w:t>
      </w:r>
    </w:p>
    <w:p>
      <w:pPr>
        <w:adjustRightInd w:val="0"/>
        <w:snapToGrid w:val="0"/>
        <w:spacing w:line="580" w:lineRule="exact"/>
        <w:ind w:firstLine="480" w:firstLineChars="15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一）参加比选供应商的报价明显低于其他通过比选人的报价，有可能影响服务质量或者不能诚信履约的应提供合理的书面说明，必要时提交相关证明材料；比选供应商不能证明其报价合理性的，将被作为无效报价处理。</w:t>
      </w:r>
    </w:p>
    <w:p>
      <w:pPr>
        <w:adjustRightInd w:val="0"/>
        <w:snapToGrid w:val="0"/>
        <w:spacing w:line="580" w:lineRule="exact"/>
        <w:ind w:firstLine="480" w:firstLineChars="150"/>
        <w:rPr>
          <w:rFonts w:hint="eastAsia"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（二）横向对比比选文件，价低者不一定成为成交供应商。比选供应商至少需提供以下文件（一式二份，格式自定）：</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1.单位简介、资格证明文件；（对应本文件第七点：供应商资格要求）</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2.近三年业绩证明文件</w:t>
      </w:r>
      <w:r>
        <w:rPr>
          <w:rFonts w:hint="eastAsia" w:ascii="仿宋_GB2312" w:hAnsi="仿宋" w:eastAsia="仿宋_GB2312" w:cs="仿宋"/>
          <w:snapToGrid w:val="0"/>
          <w:kern w:val="0"/>
          <w:sz w:val="32"/>
          <w:szCs w:val="32"/>
        </w:rPr>
        <w:t>；</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3.</w:t>
      </w:r>
      <w:r>
        <w:rPr>
          <w:rFonts w:hint="eastAsia" w:ascii="仿宋_GB2312" w:hAnsi="仿宋" w:eastAsia="仿宋_GB2312" w:cs="仿宋"/>
          <w:sz w:val="32"/>
          <w:szCs w:val="32"/>
        </w:rPr>
        <w:t>项目报价</w:t>
      </w:r>
      <w:r>
        <w:rPr>
          <w:rFonts w:hint="eastAsia" w:ascii="仿宋_GB2312" w:hAnsi="仿宋" w:eastAsia="仿宋_GB2312" w:cs="仿宋"/>
          <w:snapToGrid w:val="0"/>
          <w:kern w:val="0"/>
          <w:sz w:val="32"/>
          <w:szCs w:val="32"/>
        </w:rPr>
        <w:t>；</w:t>
      </w:r>
    </w:p>
    <w:p>
      <w:pPr>
        <w:adjustRightInd w:val="0"/>
        <w:snapToGrid w:val="0"/>
        <w:spacing w:line="580" w:lineRule="exact"/>
        <w:ind w:firstLine="640" w:firstLineChars="200"/>
        <w:rPr>
          <w:rFonts w:ascii="仿宋_GB2312" w:hAnsi="仿宋" w:eastAsia="仿宋_GB2312" w:cs="仿宋"/>
          <w:bCs/>
          <w:snapToGrid w:val="0"/>
          <w:kern w:val="0"/>
          <w:sz w:val="32"/>
          <w:szCs w:val="32"/>
        </w:rPr>
      </w:pPr>
      <w:r>
        <w:rPr>
          <w:rFonts w:hint="eastAsia" w:ascii="仿宋_GB2312" w:hAnsi="仿宋" w:eastAsia="仿宋_GB2312" w:cs="仿宋"/>
          <w:bCs/>
          <w:snapToGrid w:val="0"/>
          <w:kern w:val="0"/>
          <w:sz w:val="32"/>
          <w:szCs w:val="32"/>
        </w:rPr>
        <w:t>4.最近一期纳税记录及社保凭据；</w:t>
      </w:r>
    </w:p>
    <w:p>
      <w:pPr>
        <w:adjustRightInd w:val="0"/>
        <w:snapToGrid w:val="0"/>
        <w:spacing w:line="580" w:lineRule="exact"/>
        <w:ind w:firstLine="640" w:firstLineChars="200"/>
        <w:rPr>
          <w:rFonts w:ascii="仿宋_GB2312" w:hAnsi="仿宋" w:eastAsia="仿宋_GB2312" w:cs="仿宋"/>
          <w:snapToGrid w:val="0"/>
          <w:kern w:val="0"/>
          <w:sz w:val="32"/>
          <w:szCs w:val="32"/>
        </w:rPr>
      </w:pPr>
      <w:r>
        <w:rPr>
          <w:rFonts w:hint="eastAsia" w:ascii="仿宋_GB2312" w:hAnsi="仿宋" w:eastAsia="仿宋_GB2312" w:cs="仿宋"/>
          <w:bCs/>
          <w:snapToGrid w:val="0"/>
          <w:kern w:val="0"/>
          <w:sz w:val="32"/>
          <w:szCs w:val="32"/>
        </w:rPr>
        <w:t>5.</w:t>
      </w:r>
      <w:r>
        <w:rPr>
          <w:rFonts w:hint="eastAsia" w:ascii="仿宋_GB2312" w:hAnsi="仿宋" w:eastAsia="仿宋_GB2312" w:cs="仿宋"/>
          <w:snapToGrid w:val="0"/>
          <w:kern w:val="0"/>
          <w:sz w:val="32"/>
          <w:szCs w:val="32"/>
        </w:rPr>
        <w:t>其他可体现单位实力、信誉的相关证明文件。</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51D32"/>
    <w:rsid w:val="4615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2022-10-09T03:04:00Z</dcterms:created>
  <dc:creator>小天</dc:creator>
  <cp:lastModifiedBy>小天</cp:lastModifiedBy>
  <dcterms:modified xsi:type="dcterms:W3CDTF">2022-10-09T03:05:36Z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